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77777777" w:rsidR="0073741E" w:rsidRPr="00DF3E9D" w:rsidRDefault="0073741E" w:rsidP="00B34DB2">
      <w:pPr>
        <w:spacing w:line="360" w:lineRule="auto"/>
        <w:ind w:left="0" w:right="1693"/>
        <w:rPr>
          <w:rFonts w:cs="Arial"/>
          <w:b/>
          <w:sz w:val="12"/>
          <w:szCs w:val="12"/>
        </w:rPr>
      </w:pPr>
    </w:p>
    <w:p w14:paraId="3A41340B" w14:textId="742B8560" w:rsidR="0073741E" w:rsidRPr="0058631D" w:rsidRDefault="009D40EE" w:rsidP="003E164B">
      <w:pPr>
        <w:spacing w:line="360" w:lineRule="auto"/>
        <w:ind w:left="0" w:right="1693"/>
        <w:jc w:val="left"/>
        <w:rPr>
          <w:rFonts w:cs="Arial"/>
          <w:b/>
          <w:sz w:val="32"/>
          <w:szCs w:val="32"/>
        </w:rPr>
      </w:pPr>
      <w:r>
        <w:rPr>
          <w:rFonts w:cs="Arial"/>
          <w:b/>
          <w:sz w:val="32"/>
          <w:szCs w:val="32"/>
        </w:rPr>
        <w:t xml:space="preserve">"La automatización de almacenes </w:t>
      </w:r>
      <w:r w:rsidR="007D4B94">
        <w:rPr>
          <w:rFonts w:cs="Arial"/>
          <w:b/>
          <w:sz w:val="32"/>
          <w:szCs w:val="32"/>
        </w:rPr>
        <w:t xml:space="preserve">es </w:t>
      </w:r>
      <w:proofErr w:type="spellStart"/>
      <w:r w:rsidR="007D4B94">
        <w:rPr>
          <w:rFonts w:cs="Arial"/>
          <w:b/>
          <w:sz w:val="32"/>
          <w:szCs w:val="32"/>
        </w:rPr>
        <w:t>especialmente</w:t>
      </w:r>
      <w:proofErr w:type="spellEnd"/>
      <w:r w:rsidR="007D4B94">
        <w:rPr>
          <w:rFonts w:cs="Arial"/>
          <w:b/>
          <w:sz w:val="32"/>
          <w:szCs w:val="32"/>
        </w:rPr>
        <w:t xml:space="preserve"> </w:t>
      </w:r>
      <w:proofErr w:type="spellStart"/>
      <w:r w:rsidR="007D4B94">
        <w:rPr>
          <w:rFonts w:cs="Arial"/>
          <w:b/>
          <w:sz w:val="32"/>
          <w:szCs w:val="32"/>
        </w:rPr>
        <w:t>útil</w:t>
      </w:r>
      <w:proofErr w:type="spellEnd"/>
      <w:r w:rsidR="007D4B94">
        <w:rPr>
          <w:rFonts w:cs="Arial"/>
          <w:b/>
          <w:sz w:val="32"/>
          <w:szCs w:val="32"/>
        </w:rPr>
        <w:t xml:space="preserve"> </w:t>
      </w:r>
      <w:r>
        <w:rPr>
          <w:rFonts w:cs="Arial"/>
          <w:b/>
          <w:sz w:val="32"/>
          <w:szCs w:val="32"/>
        </w:rPr>
        <w:t xml:space="preserve">en la </w:t>
      </w:r>
      <w:proofErr w:type="spellStart"/>
      <w:r>
        <w:rPr>
          <w:rFonts w:cs="Arial"/>
          <w:b/>
          <w:sz w:val="32"/>
          <w:szCs w:val="32"/>
        </w:rPr>
        <w:t>logística</w:t>
      </w:r>
      <w:proofErr w:type="spellEnd"/>
      <w:r>
        <w:rPr>
          <w:rFonts w:cs="Arial"/>
          <w:b/>
          <w:sz w:val="32"/>
          <w:szCs w:val="32"/>
        </w:rPr>
        <w:t xml:space="preserve"> de ultracongelados"</w:t>
      </w:r>
    </w:p>
    <w:p w14:paraId="4010A384" w14:textId="77777777" w:rsidR="00315732" w:rsidRDefault="00315732" w:rsidP="00B34DB2">
      <w:pPr>
        <w:spacing w:line="360" w:lineRule="auto"/>
        <w:ind w:left="0" w:right="1693"/>
        <w:rPr>
          <w:rFonts w:cs="Arial"/>
          <w:b/>
          <w:sz w:val="24"/>
          <w:szCs w:val="24"/>
        </w:rPr>
      </w:pPr>
    </w:p>
    <w:p w14:paraId="0E1AFBEF" w14:textId="6348E44A" w:rsidR="00A67260" w:rsidRDefault="00F91B54" w:rsidP="00315732">
      <w:pPr>
        <w:pStyle w:val="Listenabsatz"/>
        <w:numPr>
          <w:ilvl w:val="0"/>
          <w:numId w:val="21"/>
        </w:numPr>
        <w:spacing w:line="360" w:lineRule="auto"/>
        <w:ind w:right="1693"/>
        <w:rPr>
          <w:rFonts w:cs="Arial"/>
          <w:b/>
          <w:sz w:val="24"/>
          <w:szCs w:val="24"/>
        </w:rPr>
      </w:pPr>
      <w:r>
        <w:rPr>
          <w:rFonts w:cs="Arial"/>
          <w:b/>
          <w:sz w:val="24"/>
          <w:szCs w:val="24"/>
        </w:rPr>
        <w:t xml:space="preserve">La escasez de </w:t>
      </w:r>
      <w:proofErr w:type="spellStart"/>
      <w:r>
        <w:rPr>
          <w:rFonts w:cs="Arial"/>
          <w:b/>
          <w:sz w:val="24"/>
          <w:szCs w:val="24"/>
        </w:rPr>
        <w:t>mano</w:t>
      </w:r>
      <w:proofErr w:type="spellEnd"/>
      <w:r>
        <w:rPr>
          <w:rFonts w:cs="Arial"/>
          <w:b/>
          <w:sz w:val="24"/>
          <w:szCs w:val="24"/>
        </w:rPr>
        <w:t xml:space="preserve"> de </w:t>
      </w:r>
      <w:proofErr w:type="spellStart"/>
      <w:r>
        <w:rPr>
          <w:rFonts w:cs="Arial"/>
          <w:b/>
          <w:sz w:val="24"/>
          <w:szCs w:val="24"/>
        </w:rPr>
        <w:t>obra</w:t>
      </w:r>
      <w:proofErr w:type="spellEnd"/>
      <w:r>
        <w:rPr>
          <w:rFonts w:cs="Arial"/>
          <w:b/>
          <w:sz w:val="24"/>
          <w:szCs w:val="24"/>
        </w:rPr>
        <w:t xml:space="preserve"> </w:t>
      </w:r>
      <w:proofErr w:type="spellStart"/>
      <w:r w:rsidR="009C517E">
        <w:rPr>
          <w:rFonts w:cs="Arial"/>
          <w:b/>
          <w:sz w:val="24"/>
          <w:szCs w:val="24"/>
        </w:rPr>
        <w:t>aumenta</w:t>
      </w:r>
      <w:proofErr w:type="spellEnd"/>
      <w:r>
        <w:rPr>
          <w:rFonts w:cs="Arial"/>
          <w:b/>
          <w:sz w:val="24"/>
          <w:szCs w:val="24"/>
        </w:rPr>
        <w:t xml:space="preserve"> la </w:t>
      </w:r>
      <w:proofErr w:type="spellStart"/>
      <w:r>
        <w:rPr>
          <w:rFonts w:cs="Arial"/>
          <w:b/>
          <w:sz w:val="24"/>
          <w:szCs w:val="24"/>
        </w:rPr>
        <w:t>demanda</w:t>
      </w:r>
      <w:proofErr w:type="spellEnd"/>
    </w:p>
    <w:p w14:paraId="5973D623" w14:textId="4D3551EE" w:rsidR="00315732" w:rsidRDefault="004D3103" w:rsidP="00315732">
      <w:pPr>
        <w:pStyle w:val="Listenabsatz"/>
        <w:numPr>
          <w:ilvl w:val="0"/>
          <w:numId w:val="21"/>
        </w:numPr>
        <w:spacing w:line="360" w:lineRule="auto"/>
        <w:ind w:right="1693"/>
        <w:rPr>
          <w:rFonts w:cs="Arial"/>
          <w:b/>
          <w:sz w:val="24"/>
          <w:szCs w:val="24"/>
        </w:rPr>
      </w:pPr>
      <w:r>
        <w:rPr>
          <w:rFonts w:cs="Arial"/>
          <w:b/>
          <w:sz w:val="24"/>
          <w:szCs w:val="24"/>
        </w:rPr>
        <w:t>Las empresas dan cada vez más importancia al ahorro de energía y a la sostenibilidad</w:t>
      </w:r>
    </w:p>
    <w:p w14:paraId="2CA793C4" w14:textId="1FE48D0E" w:rsidR="00222AA7" w:rsidRDefault="004F791F" w:rsidP="00315732">
      <w:pPr>
        <w:pStyle w:val="Listenabsatz"/>
        <w:numPr>
          <w:ilvl w:val="0"/>
          <w:numId w:val="21"/>
        </w:numPr>
        <w:spacing w:line="360" w:lineRule="auto"/>
        <w:ind w:right="1693"/>
        <w:rPr>
          <w:rFonts w:cs="Arial"/>
          <w:b/>
          <w:sz w:val="24"/>
          <w:szCs w:val="24"/>
        </w:rPr>
      </w:pPr>
      <w:r>
        <w:rPr>
          <w:rFonts w:cs="Arial"/>
          <w:b/>
          <w:sz w:val="24"/>
          <w:szCs w:val="24"/>
        </w:rPr>
        <w:t xml:space="preserve">Hasta dos tercios de </w:t>
      </w:r>
      <w:proofErr w:type="spellStart"/>
      <w:r>
        <w:rPr>
          <w:rFonts w:cs="Arial"/>
          <w:b/>
          <w:sz w:val="24"/>
          <w:szCs w:val="24"/>
        </w:rPr>
        <w:t>reducció</w:t>
      </w:r>
      <w:r w:rsidR="00534EBF">
        <w:rPr>
          <w:rFonts w:cs="Arial"/>
          <w:b/>
          <w:sz w:val="24"/>
          <w:szCs w:val="24"/>
        </w:rPr>
        <w:t>n</w:t>
      </w:r>
      <w:proofErr w:type="spellEnd"/>
      <w:r>
        <w:rPr>
          <w:rFonts w:cs="Arial"/>
          <w:b/>
          <w:sz w:val="24"/>
          <w:szCs w:val="24"/>
        </w:rPr>
        <w:t xml:space="preserve"> de </w:t>
      </w:r>
      <w:proofErr w:type="spellStart"/>
      <w:r w:rsidR="00D81889">
        <w:rPr>
          <w:rFonts w:cs="Arial"/>
          <w:b/>
          <w:sz w:val="24"/>
          <w:szCs w:val="24"/>
        </w:rPr>
        <w:t>energía</w:t>
      </w:r>
      <w:proofErr w:type="spellEnd"/>
      <w:r w:rsidR="00222AA7">
        <w:rPr>
          <w:rFonts w:cs="Arial"/>
          <w:b/>
          <w:sz w:val="24"/>
          <w:szCs w:val="24"/>
        </w:rPr>
        <w:t xml:space="preserve"> </w:t>
      </w:r>
      <w:proofErr w:type="spellStart"/>
      <w:r w:rsidR="007E0CD3">
        <w:rPr>
          <w:rFonts w:cs="Arial"/>
          <w:b/>
          <w:sz w:val="24"/>
          <w:szCs w:val="24"/>
        </w:rPr>
        <w:t>permitidos</w:t>
      </w:r>
      <w:proofErr w:type="spellEnd"/>
      <w:r>
        <w:rPr>
          <w:rFonts w:cs="Arial"/>
          <w:b/>
          <w:sz w:val="24"/>
          <w:szCs w:val="24"/>
        </w:rPr>
        <w:t xml:space="preserve"> </w:t>
      </w:r>
    </w:p>
    <w:p w14:paraId="6C2333EF" w14:textId="77777777" w:rsidR="00E26207" w:rsidRDefault="00E26207" w:rsidP="00B34DB2">
      <w:pPr>
        <w:spacing w:line="360" w:lineRule="auto"/>
        <w:ind w:left="0" w:right="1693"/>
        <w:rPr>
          <w:rFonts w:cs="Arial"/>
          <w:b/>
          <w:sz w:val="24"/>
          <w:szCs w:val="24"/>
        </w:rPr>
      </w:pPr>
    </w:p>
    <w:p w14:paraId="589F2D77" w14:textId="2D2E7A52" w:rsidR="00FA4B8F" w:rsidRPr="003E164B" w:rsidRDefault="00EF32D1" w:rsidP="00B34DB2">
      <w:pPr>
        <w:spacing w:line="360" w:lineRule="auto"/>
        <w:ind w:left="0" w:right="1693"/>
        <w:rPr>
          <w:rFonts w:cs="Arial"/>
          <w:b/>
          <w:szCs w:val="20"/>
        </w:rPr>
      </w:pPr>
      <w:r>
        <w:rPr>
          <w:rFonts w:cs="Arial"/>
          <w:b/>
          <w:szCs w:val="20"/>
        </w:rPr>
        <w:t>(Marchtrenk, 31 de agosto de 2021) Michael Schedlbauer, Industry Manager del departamento de alimentación de TGW Logistics Group nos explica en una entrevista la razón por la que cada vez más empresas apuestan por el almacenamiento automatizado de ultracongelados en lugar del almacenamiento manual.</w:t>
      </w:r>
    </w:p>
    <w:p w14:paraId="7C012870" w14:textId="77777777" w:rsidR="0073741E" w:rsidRPr="003E164B" w:rsidRDefault="0073741E" w:rsidP="00B34DB2">
      <w:pPr>
        <w:spacing w:line="360" w:lineRule="auto"/>
        <w:ind w:left="0" w:right="1693"/>
        <w:rPr>
          <w:rFonts w:cs="Arial"/>
          <w:bCs/>
          <w:szCs w:val="20"/>
        </w:rPr>
      </w:pPr>
    </w:p>
    <w:p w14:paraId="7D8D52A4" w14:textId="613C2E27" w:rsidR="00802C56" w:rsidRPr="003E164B" w:rsidRDefault="00F91B54" w:rsidP="00802C56">
      <w:pPr>
        <w:spacing w:line="360" w:lineRule="auto"/>
        <w:ind w:left="0" w:right="1693"/>
        <w:rPr>
          <w:rFonts w:cs="Arial"/>
          <w:b/>
          <w:szCs w:val="20"/>
        </w:rPr>
      </w:pPr>
      <w:r>
        <w:rPr>
          <w:rFonts w:cs="Arial"/>
          <w:b/>
          <w:szCs w:val="20"/>
        </w:rPr>
        <w:t>¿Cómo ha evolucionado el mercado de la logística frigorífica en los últimos años??</w:t>
      </w:r>
    </w:p>
    <w:p w14:paraId="4E45CC53" w14:textId="09FA2261" w:rsidR="00B10CF5" w:rsidRPr="003E164B" w:rsidRDefault="00F91B54" w:rsidP="00E21B14">
      <w:pPr>
        <w:spacing w:line="360" w:lineRule="auto"/>
        <w:ind w:left="0" w:right="1693"/>
        <w:rPr>
          <w:rFonts w:cs="Arial"/>
          <w:bCs/>
          <w:szCs w:val="20"/>
        </w:rPr>
      </w:pPr>
      <w:r>
        <w:rPr>
          <w:rFonts w:cs="Arial"/>
          <w:b/>
          <w:szCs w:val="20"/>
        </w:rPr>
        <w:t xml:space="preserve">Michael Schedlbauer: </w:t>
      </w:r>
      <w:r>
        <w:rPr>
          <w:rFonts w:cs="Arial"/>
          <w:bCs/>
          <w:szCs w:val="20"/>
        </w:rPr>
        <w:t xml:space="preserve">en </w:t>
      </w:r>
      <w:r w:rsidR="00F043ED">
        <w:rPr>
          <w:rFonts w:cs="Arial"/>
          <w:bCs/>
          <w:szCs w:val="20"/>
        </w:rPr>
        <w:t xml:space="preserve">el </w:t>
      </w:r>
      <w:r>
        <w:rPr>
          <w:rFonts w:cs="Arial"/>
          <w:bCs/>
          <w:szCs w:val="20"/>
        </w:rPr>
        <w:t xml:space="preserve">2020, la pandemia del coronavirus trajo consigo un crecimiento desproporcionado de este segmento. Las personas cocinaron en casa </w:t>
      </w:r>
      <w:proofErr w:type="spellStart"/>
      <w:r>
        <w:rPr>
          <w:rFonts w:cs="Arial"/>
          <w:bCs/>
          <w:szCs w:val="20"/>
        </w:rPr>
        <w:t>con</w:t>
      </w:r>
      <w:proofErr w:type="spellEnd"/>
      <w:r>
        <w:rPr>
          <w:rFonts w:cs="Arial"/>
          <w:bCs/>
          <w:szCs w:val="20"/>
        </w:rPr>
        <w:t xml:space="preserve"> </w:t>
      </w:r>
      <w:proofErr w:type="spellStart"/>
      <w:r>
        <w:rPr>
          <w:rFonts w:cs="Arial"/>
          <w:bCs/>
          <w:szCs w:val="20"/>
        </w:rPr>
        <w:t>más</w:t>
      </w:r>
      <w:proofErr w:type="spellEnd"/>
      <w:r>
        <w:rPr>
          <w:rFonts w:cs="Arial"/>
          <w:bCs/>
          <w:szCs w:val="20"/>
        </w:rPr>
        <w:t xml:space="preserve"> </w:t>
      </w:r>
      <w:proofErr w:type="spellStart"/>
      <w:r w:rsidR="00F043ED">
        <w:rPr>
          <w:rFonts w:cs="Arial"/>
          <w:bCs/>
          <w:szCs w:val="20"/>
        </w:rPr>
        <w:t>frecuencia</w:t>
      </w:r>
      <w:proofErr w:type="spellEnd"/>
      <w:r w:rsidR="00F043ED">
        <w:rPr>
          <w:rFonts w:cs="Arial"/>
          <w:bCs/>
          <w:szCs w:val="20"/>
        </w:rPr>
        <w:t xml:space="preserve"> </w:t>
      </w:r>
      <w:r>
        <w:rPr>
          <w:rFonts w:cs="Arial"/>
          <w:bCs/>
          <w:szCs w:val="20"/>
        </w:rPr>
        <w:t xml:space="preserve">y se </w:t>
      </w:r>
      <w:proofErr w:type="spellStart"/>
      <w:r>
        <w:rPr>
          <w:rFonts w:cs="Arial"/>
          <w:bCs/>
          <w:szCs w:val="20"/>
        </w:rPr>
        <w:t>compraron</w:t>
      </w:r>
      <w:proofErr w:type="spellEnd"/>
      <w:r>
        <w:rPr>
          <w:rFonts w:cs="Arial"/>
          <w:bCs/>
          <w:szCs w:val="20"/>
        </w:rPr>
        <w:t xml:space="preserve"> </w:t>
      </w:r>
      <w:proofErr w:type="spellStart"/>
      <w:r>
        <w:rPr>
          <w:rFonts w:cs="Arial"/>
          <w:bCs/>
          <w:szCs w:val="20"/>
        </w:rPr>
        <w:t>más</w:t>
      </w:r>
      <w:proofErr w:type="spellEnd"/>
      <w:r>
        <w:rPr>
          <w:rFonts w:cs="Arial"/>
          <w:bCs/>
          <w:szCs w:val="20"/>
        </w:rPr>
        <w:t xml:space="preserve"> </w:t>
      </w:r>
      <w:proofErr w:type="spellStart"/>
      <w:r w:rsidR="00182A0F">
        <w:rPr>
          <w:rFonts w:cs="Arial"/>
          <w:bCs/>
          <w:szCs w:val="20"/>
        </w:rPr>
        <w:t>alimentos</w:t>
      </w:r>
      <w:proofErr w:type="spellEnd"/>
      <w:r w:rsidR="00182A0F">
        <w:rPr>
          <w:rFonts w:cs="Arial"/>
          <w:bCs/>
          <w:szCs w:val="20"/>
        </w:rPr>
        <w:t xml:space="preserve"> </w:t>
      </w:r>
      <w:proofErr w:type="spellStart"/>
      <w:r>
        <w:rPr>
          <w:rFonts w:cs="Arial"/>
          <w:bCs/>
          <w:szCs w:val="20"/>
        </w:rPr>
        <w:t>congelados</w:t>
      </w:r>
      <w:proofErr w:type="spellEnd"/>
      <w:r>
        <w:rPr>
          <w:rFonts w:cs="Arial"/>
          <w:bCs/>
          <w:szCs w:val="20"/>
        </w:rPr>
        <w:t xml:space="preserve"> </w:t>
      </w:r>
      <w:proofErr w:type="spellStart"/>
      <w:r>
        <w:rPr>
          <w:rFonts w:cs="Arial"/>
          <w:bCs/>
          <w:szCs w:val="20"/>
        </w:rPr>
        <w:t>tales</w:t>
      </w:r>
      <w:proofErr w:type="spellEnd"/>
      <w:r>
        <w:rPr>
          <w:rFonts w:cs="Arial"/>
          <w:bCs/>
          <w:szCs w:val="20"/>
        </w:rPr>
        <w:t xml:space="preserve"> </w:t>
      </w:r>
      <w:proofErr w:type="spellStart"/>
      <w:r>
        <w:rPr>
          <w:rFonts w:cs="Arial"/>
          <w:bCs/>
          <w:szCs w:val="20"/>
        </w:rPr>
        <w:t>como</w:t>
      </w:r>
      <w:proofErr w:type="spellEnd"/>
      <w:r>
        <w:rPr>
          <w:rFonts w:cs="Arial"/>
          <w:bCs/>
          <w:szCs w:val="20"/>
        </w:rPr>
        <w:t xml:space="preserve"> </w:t>
      </w:r>
      <w:proofErr w:type="spellStart"/>
      <w:r>
        <w:rPr>
          <w:rFonts w:cs="Arial"/>
          <w:bCs/>
          <w:szCs w:val="20"/>
        </w:rPr>
        <w:t>verduras</w:t>
      </w:r>
      <w:proofErr w:type="spellEnd"/>
      <w:r>
        <w:rPr>
          <w:rFonts w:cs="Arial"/>
          <w:bCs/>
          <w:szCs w:val="20"/>
        </w:rPr>
        <w:t xml:space="preserve"> o pescado. Al mismo tiempo aumentó la demanda de productos precocinados; en EE. UU. por ejemplo, la demanda del segmento de los alimentos congelados creció un 20 %. Esta tendencia se refleja también en las cifras de Alemania: la Asociación de Empresas Alemanas de Almacenamiento en Frío y Logística Refrigerada (Verband Deutscher Kühlhäuser und Kühllogistikunternehmen - VDKL) informa  que, en</w:t>
      </w:r>
      <w:r w:rsidR="00F2073E">
        <w:rPr>
          <w:rFonts w:cs="Arial"/>
          <w:bCs/>
          <w:szCs w:val="20"/>
        </w:rPr>
        <w:t xml:space="preserve"> el</w:t>
      </w:r>
      <w:r>
        <w:rPr>
          <w:rFonts w:cs="Arial"/>
          <w:bCs/>
          <w:szCs w:val="20"/>
        </w:rPr>
        <w:t xml:space="preserve"> 2020, las cámaras frigoríficas de los miembros estuvieron un 1,3 % más llenas que en el año 2019, con una </w:t>
      </w:r>
      <w:r w:rsidR="00F2073E">
        <w:rPr>
          <w:rFonts w:cs="Arial"/>
          <w:bCs/>
          <w:szCs w:val="20"/>
        </w:rPr>
        <w:t xml:space="preserve">media de </w:t>
      </w:r>
      <w:r w:rsidR="00D220B5">
        <w:rPr>
          <w:rFonts w:cs="Arial"/>
          <w:bCs/>
          <w:szCs w:val="20"/>
        </w:rPr>
        <w:t xml:space="preserve">utilización </w:t>
      </w:r>
      <w:r w:rsidR="00F2073E">
        <w:rPr>
          <w:rFonts w:cs="Arial"/>
          <w:bCs/>
          <w:szCs w:val="20"/>
        </w:rPr>
        <w:t>total</w:t>
      </w:r>
      <w:r w:rsidR="00D220B5">
        <w:rPr>
          <w:rFonts w:cs="Arial"/>
          <w:bCs/>
          <w:szCs w:val="20"/>
        </w:rPr>
        <w:t xml:space="preserve"> </w:t>
      </w:r>
      <w:r>
        <w:rPr>
          <w:rFonts w:cs="Arial"/>
          <w:bCs/>
          <w:szCs w:val="20"/>
        </w:rPr>
        <w:t xml:space="preserve"> del 81,4 % (frente al 80,1 % del año anterior) y, en general, </w:t>
      </w:r>
      <w:r w:rsidR="00D976C7">
        <w:rPr>
          <w:rFonts w:cs="Arial"/>
          <w:bCs/>
          <w:szCs w:val="20"/>
        </w:rPr>
        <w:t xml:space="preserve">estaban más abastecidos que en cualquier otro momento de los últimos </w:t>
      </w:r>
      <w:r>
        <w:rPr>
          <w:rFonts w:cs="Arial"/>
          <w:bCs/>
          <w:szCs w:val="20"/>
        </w:rPr>
        <w:t xml:space="preserve"> 18 años. </w:t>
      </w:r>
    </w:p>
    <w:p w14:paraId="6411D969" w14:textId="1082B49E" w:rsidR="00B10CF5" w:rsidRPr="003E164B" w:rsidRDefault="00B10CF5" w:rsidP="00E21B14">
      <w:pPr>
        <w:spacing w:line="360" w:lineRule="auto"/>
        <w:ind w:left="0" w:right="1693"/>
        <w:rPr>
          <w:rFonts w:cs="Arial"/>
          <w:bCs/>
          <w:szCs w:val="20"/>
        </w:rPr>
      </w:pPr>
    </w:p>
    <w:p w14:paraId="5AFBFF6C" w14:textId="4D9B0D5A" w:rsidR="00B10CF5" w:rsidRPr="003E164B" w:rsidRDefault="00FF4E6E" w:rsidP="00E21B14">
      <w:pPr>
        <w:spacing w:line="360" w:lineRule="auto"/>
        <w:ind w:left="0" w:right="1693"/>
        <w:rPr>
          <w:rFonts w:cs="Arial"/>
          <w:b/>
          <w:szCs w:val="20"/>
        </w:rPr>
      </w:pPr>
      <w:r>
        <w:rPr>
          <w:rFonts w:cs="Arial"/>
          <w:b/>
          <w:szCs w:val="20"/>
        </w:rPr>
        <w:t xml:space="preserve">Eso suena a </w:t>
      </w:r>
      <w:r w:rsidR="002C10EF">
        <w:rPr>
          <w:rFonts w:cs="Arial"/>
          <w:b/>
          <w:szCs w:val="20"/>
        </w:rPr>
        <w:t xml:space="preserve">un </w:t>
      </w:r>
      <w:r>
        <w:rPr>
          <w:rFonts w:cs="Arial"/>
          <w:b/>
          <w:szCs w:val="20"/>
        </w:rPr>
        <w:t>segmento logístico a prueba de crisis…</w:t>
      </w:r>
    </w:p>
    <w:p w14:paraId="2B8806DA" w14:textId="2A5E127E" w:rsidR="00B10CF5" w:rsidRPr="003E164B" w:rsidRDefault="00B10CF5" w:rsidP="00E21B14">
      <w:pPr>
        <w:spacing w:line="360" w:lineRule="auto"/>
        <w:ind w:left="0" w:right="1693"/>
        <w:rPr>
          <w:rFonts w:cs="Arial"/>
          <w:bCs/>
          <w:szCs w:val="20"/>
        </w:rPr>
      </w:pPr>
      <w:r>
        <w:rPr>
          <w:rFonts w:cs="Arial"/>
          <w:bCs/>
          <w:szCs w:val="20"/>
        </w:rPr>
        <w:t xml:space="preserve">Y lo es. Actualmente vemos que muchas empresas e inversores están invirtiendo en este sector. Por un lado, los tipos de interés están bajos. Y por otro, independientemente del coronavirus, siempre se puede afirmar que la comida y la bebida no pueden faltar. Esto implica que este sector es muy estable frente a influencias externas. Por ello, también merecen la pena las inversiones a largo plazo en estructuras de almacenamiento nuevas y automatizadas. </w:t>
      </w:r>
    </w:p>
    <w:p w14:paraId="1FDEBD5A" w14:textId="450E314E" w:rsidR="00B10CF5" w:rsidRPr="003E164B" w:rsidRDefault="00B10CF5" w:rsidP="00E21B14">
      <w:pPr>
        <w:spacing w:line="360" w:lineRule="auto"/>
        <w:ind w:left="0" w:right="1693"/>
        <w:rPr>
          <w:rFonts w:cs="Arial"/>
          <w:b/>
          <w:szCs w:val="20"/>
        </w:rPr>
      </w:pPr>
      <w:r>
        <w:rPr>
          <w:rFonts w:cs="Arial"/>
          <w:b/>
          <w:szCs w:val="20"/>
        </w:rPr>
        <w:lastRenderedPageBreak/>
        <w:t xml:space="preserve">¿Cómo era la situación antes de </w:t>
      </w:r>
      <w:proofErr w:type="spellStart"/>
      <w:r>
        <w:rPr>
          <w:rFonts w:cs="Arial"/>
          <w:b/>
          <w:szCs w:val="20"/>
        </w:rPr>
        <w:t>que</w:t>
      </w:r>
      <w:proofErr w:type="spellEnd"/>
      <w:r>
        <w:rPr>
          <w:rFonts w:cs="Arial"/>
          <w:b/>
          <w:szCs w:val="20"/>
        </w:rPr>
        <w:t xml:space="preserve"> </w:t>
      </w:r>
      <w:proofErr w:type="spellStart"/>
      <w:r>
        <w:rPr>
          <w:rFonts w:cs="Arial"/>
          <w:b/>
          <w:szCs w:val="20"/>
        </w:rPr>
        <w:t>estallara</w:t>
      </w:r>
      <w:proofErr w:type="spellEnd"/>
      <w:r>
        <w:rPr>
          <w:rFonts w:cs="Arial"/>
          <w:b/>
          <w:szCs w:val="20"/>
        </w:rPr>
        <w:t xml:space="preserve"> </w:t>
      </w:r>
      <w:r w:rsidR="006F6DE9">
        <w:rPr>
          <w:rFonts w:cs="Arial"/>
          <w:b/>
          <w:szCs w:val="20"/>
        </w:rPr>
        <w:t xml:space="preserve">el </w:t>
      </w:r>
      <w:r>
        <w:rPr>
          <w:rFonts w:cs="Arial"/>
          <w:b/>
          <w:szCs w:val="20"/>
        </w:rPr>
        <w:t>Covid-19?</w:t>
      </w:r>
    </w:p>
    <w:p w14:paraId="4F1E7D28" w14:textId="593B74EF" w:rsidR="00B10CF5" w:rsidRPr="003E164B" w:rsidRDefault="00B10CF5" w:rsidP="00E21B14">
      <w:pPr>
        <w:spacing w:line="360" w:lineRule="auto"/>
        <w:ind w:left="0" w:right="1693"/>
        <w:rPr>
          <w:rFonts w:cs="Arial"/>
          <w:bCs/>
          <w:szCs w:val="20"/>
        </w:rPr>
      </w:pPr>
      <w:r>
        <w:rPr>
          <w:rFonts w:cs="Arial"/>
          <w:bCs/>
          <w:szCs w:val="20"/>
        </w:rPr>
        <w:t xml:space="preserve">En la última década, el mercado no ha parado de crecer y los diferentes actores han ampliado sus capacidades, tanto las empresas de comercio como los contratistas de logística. TGW, por ejemplo, ha concluido recientemente un proyecto con el proveedor holandés NewCold, que trabaja para un renombrado productor de productos alimenticios. </w:t>
      </w:r>
      <w:proofErr w:type="spellStart"/>
      <w:r>
        <w:rPr>
          <w:rFonts w:cs="Arial"/>
          <w:bCs/>
          <w:szCs w:val="20"/>
        </w:rPr>
        <w:t>Además</w:t>
      </w:r>
      <w:proofErr w:type="spellEnd"/>
      <w:r>
        <w:rPr>
          <w:rFonts w:cs="Arial"/>
          <w:bCs/>
          <w:szCs w:val="20"/>
        </w:rPr>
        <w:t xml:space="preserve">, el </w:t>
      </w:r>
      <w:proofErr w:type="spellStart"/>
      <w:r>
        <w:rPr>
          <w:rFonts w:cs="Arial"/>
          <w:bCs/>
          <w:szCs w:val="20"/>
        </w:rPr>
        <w:t>almacén</w:t>
      </w:r>
      <w:proofErr w:type="spellEnd"/>
      <w:r>
        <w:rPr>
          <w:rFonts w:cs="Arial"/>
          <w:bCs/>
          <w:szCs w:val="20"/>
        </w:rPr>
        <w:t xml:space="preserve"> </w:t>
      </w:r>
      <w:proofErr w:type="spellStart"/>
      <w:r>
        <w:rPr>
          <w:rFonts w:cs="Arial"/>
          <w:bCs/>
          <w:szCs w:val="20"/>
        </w:rPr>
        <w:t>central</w:t>
      </w:r>
      <w:proofErr w:type="spellEnd"/>
      <w:r>
        <w:rPr>
          <w:rFonts w:cs="Arial"/>
          <w:bCs/>
          <w:szCs w:val="20"/>
        </w:rPr>
        <w:t xml:space="preserve"> COOP de Suiza</w:t>
      </w:r>
      <w:r w:rsidR="00AF2F76">
        <w:rPr>
          <w:rFonts w:cs="Arial"/>
          <w:bCs/>
          <w:szCs w:val="20"/>
        </w:rPr>
        <w:t xml:space="preserve"> entró en funcionamiento con éxito</w:t>
      </w:r>
      <w:r>
        <w:rPr>
          <w:rFonts w:cs="Arial"/>
          <w:bCs/>
          <w:szCs w:val="20"/>
        </w:rPr>
        <w:t>. En el comercio minorista de alimentación hay dos tendencias: centralización e insourcing</w:t>
      </w:r>
      <w:r w:rsidR="00C707D5">
        <w:rPr>
          <w:rFonts w:cs="Arial"/>
          <w:bCs/>
          <w:szCs w:val="20"/>
        </w:rPr>
        <w:t>.</w:t>
      </w:r>
      <w:r>
        <w:rPr>
          <w:rFonts w:cs="Arial"/>
          <w:bCs/>
          <w:szCs w:val="20"/>
        </w:rPr>
        <w:t xml:space="preserve"> El proyecto de COOP de Schafisheim refleja bien la primera. La </w:t>
      </w:r>
      <w:proofErr w:type="spellStart"/>
      <w:r w:rsidR="00663F40">
        <w:rPr>
          <w:rFonts w:cs="Arial"/>
          <w:bCs/>
          <w:szCs w:val="20"/>
        </w:rPr>
        <w:t>empresa</w:t>
      </w:r>
      <w:proofErr w:type="spellEnd"/>
      <w:r w:rsidR="00663F40">
        <w:rPr>
          <w:rFonts w:cs="Arial"/>
          <w:bCs/>
          <w:szCs w:val="20"/>
        </w:rPr>
        <w:t xml:space="preserve"> </w:t>
      </w:r>
      <w:r>
        <w:rPr>
          <w:rFonts w:cs="Arial"/>
          <w:bCs/>
          <w:szCs w:val="20"/>
        </w:rPr>
        <w:t xml:space="preserve">ha </w:t>
      </w:r>
      <w:proofErr w:type="spellStart"/>
      <w:r>
        <w:rPr>
          <w:rFonts w:cs="Arial"/>
          <w:bCs/>
          <w:szCs w:val="20"/>
        </w:rPr>
        <w:t>centralizado</w:t>
      </w:r>
      <w:proofErr w:type="spellEnd"/>
      <w:r>
        <w:rPr>
          <w:rFonts w:cs="Arial"/>
          <w:bCs/>
          <w:szCs w:val="20"/>
        </w:rPr>
        <w:t xml:space="preserve"> </w:t>
      </w:r>
      <w:proofErr w:type="spellStart"/>
      <w:r>
        <w:rPr>
          <w:rFonts w:cs="Arial"/>
          <w:bCs/>
          <w:szCs w:val="20"/>
        </w:rPr>
        <w:t>su</w:t>
      </w:r>
      <w:proofErr w:type="spellEnd"/>
      <w:r>
        <w:rPr>
          <w:rFonts w:cs="Arial"/>
          <w:bCs/>
          <w:szCs w:val="20"/>
        </w:rPr>
        <w:t xml:space="preserve"> </w:t>
      </w:r>
      <w:proofErr w:type="spellStart"/>
      <w:r>
        <w:rPr>
          <w:rFonts w:cs="Arial"/>
          <w:bCs/>
          <w:szCs w:val="20"/>
        </w:rPr>
        <w:t>logística</w:t>
      </w:r>
      <w:proofErr w:type="spellEnd"/>
      <w:r>
        <w:rPr>
          <w:rFonts w:cs="Arial"/>
          <w:bCs/>
          <w:szCs w:val="20"/>
        </w:rPr>
        <w:t xml:space="preserve"> de ultracongelados uniendo tres centros de distribución regionales en uno solo. Además, esta instalación también es el almacén regional de productos </w:t>
      </w:r>
      <w:proofErr w:type="spellStart"/>
      <w:r>
        <w:rPr>
          <w:rFonts w:cs="Arial"/>
          <w:bCs/>
          <w:szCs w:val="20"/>
        </w:rPr>
        <w:t>frescos</w:t>
      </w:r>
      <w:proofErr w:type="spellEnd"/>
      <w:r>
        <w:rPr>
          <w:rFonts w:cs="Arial"/>
          <w:bCs/>
          <w:szCs w:val="20"/>
        </w:rPr>
        <w:t xml:space="preserve"> </w:t>
      </w:r>
      <w:proofErr w:type="spellStart"/>
      <w:r>
        <w:rPr>
          <w:rFonts w:cs="Arial"/>
          <w:bCs/>
          <w:szCs w:val="20"/>
        </w:rPr>
        <w:t>para</w:t>
      </w:r>
      <w:proofErr w:type="spellEnd"/>
      <w:r>
        <w:rPr>
          <w:rFonts w:cs="Arial"/>
          <w:bCs/>
          <w:szCs w:val="20"/>
        </w:rPr>
        <w:t xml:space="preserve"> el </w:t>
      </w:r>
      <w:proofErr w:type="spellStart"/>
      <w:r>
        <w:rPr>
          <w:rFonts w:cs="Arial"/>
          <w:bCs/>
          <w:szCs w:val="20"/>
        </w:rPr>
        <w:t>noreste</w:t>
      </w:r>
      <w:proofErr w:type="spellEnd"/>
      <w:r>
        <w:rPr>
          <w:rFonts w:cs="Arial"/>
          <w:bCs/>
          <w:szCs w:val="20"/>
        </w:rPr>
        <w:t xml:space="preserve"> de </w:t>
      </w:r>
      <w:proofErr w:type="spellStart"/>
      <w:r>
        <w:rPr>
          <w:rFonts w:cs="Arial"/>
          <w:bCs/>
          <w:szCs w:val="20"/>
        </w:rPr>
        <w:t>Suiza</w:t>
      </w:r>
      <w:proofErr w:type="spellEnd"/>
      <w:r>
        <w:rPr>
          <w:rFonts w:cs="Arial"/>
          <w:bCs/>
          <w:szCs w:val="20"/>
        </w:rPr>
        <w:t xml:space="preserve">. Así pues, en este edificio hay varias zonas de temperatura con una superficie total de 240 000 metros cuadrados. </w:t>
      </w:r>
    </w:p>
    <w:p w14:paraId="7BFD3DB3" w14:textId="0D6637BF" w:rsidR="00074502" w:rsidRPr="003E164B" w:rsidRDefault="00074502" w:rsidP="00F91B54">
      <w:pPr>
        <w:spacing w:line="360" w:lineRule="auto"/>
        <w:ind w:left="0" w:right="1693"/>
        <w:rPr>
          <w:rFonts w:cs="Arial"/>
          <w:bCs/>
          <w:szCs w:val="20"/>
        </w:rPr>
      </w:pPr>
    </w:p>
    <w:p w14:paraId="25754120" w14:textId="5B0D0FC6" w:rsidR="00E00117" w:rsidRPr="003E164B" w:rsidRDefault="001C1853" w:rsidP="00F91B54">
      <w:pPr>
        <w:spacing w:line="360" w:lineRule="auto"/>
        <w:ind w:left="0" w:right="1693"/>
        <w:rPr>
          <w:rFonts w:cs="Arial"/>
          <w:b/>
          <w:szCs w:val="20"/>
        </w:rPr>
      </w:pPr>
      <w:r>
        <w:rPr>
          <w:rFonts w:cs="Arial"/>
          <w:b/>
          <w:szCs w:val="20"/>
        </w:rPr>
        <w:t xml:space="preserve">La </w:t>
      </w:r>
      <w:proofErr w:type="spellStart"/>
      <w:r w:rsidR="00E00117">
        <w:rPr>
          <w:rFonts w:cs="Arial"/>
          <w:b/>
          <w:szCs w:val="20"/>
        </w:rPr>
        <w:t>automatización</w:t>
      </w:r>
      <w:proofErr w:type="spellEnd"/>
      <w:r w:rsidR="00E00117">
        <w:rPr>
          <w:rFonts w:cs="Arial"/>
          <w:b/>
          <w:szCs w:val="20"/>
        </w:rPr>
        <w:t xml:space="preserve"> </w:t>
      </w:r>
      <w:r>
        <w:rPr>
          <w:rFonts w:cs="Arial"/>
          <w:b/>
          <w:szCs w:val="20"/>
        </w:rPr>
        <w:t xml:space="preserve">es </w:t>
      </w:r>
      <w:proofErr w:type="spellStart"/>
      <w:r>
        <w:rPr>
          <w:rFonts w:cs="Arial"/>
          <w:b/>
          <w:szCs w:val="20"/>
        </w:rPr>
        <w:t>asociada</w:t>
      </w:r>
      <w:proofErr w:type="spellEnd"/>
      <w:r>
        <w:rPr>
          <w:rFonts w:cs="Arial"/>
          <w:b/>
          <w:szCs w:val="20"/>
        </w:rPr>
        <w:t xml:space="preserve"> por mucho con </w:t>
      </w:r>
      <w:r w:rsidR="00E00117">
        <w:rPr>
          <w:rFonts w:cs="Arial"/>
          <w:b/>
          <w:szCs w:val="20"/>
        </w:rPr>
        <w:t>altas cifras de inversión...</w:t>
      </w:r>
    </w:p>
    <w:p w14:paraId="694A4250" w14:textId="0CA7F1B2" w:rsidR="00E4069D" w:rsidRPr="003E164B" w:rsidRDefault="00E00117" w:rsidP="00F91B54">
      <w:pPr>
        <w:spacing w:line="360" w:lineRule="auto"/>
        <w:ind w:left="0" w:right="1693"/>
        <w:rPr>
          <w:rFonts w:cs="Arial"/>
          <w:bCs/>
          <w:szCs w:val="20"/>
        </w:rPr>
      </w:pPr>
      <w:r>
        <w:rPr>
          <w:rFonts w:cs="Arial"/>
          <w:bCs/>
          <w:szCs w:val="20"/>
        </w:rPr>
        <w:t xml:space="preserve">Pero, si se observa el conjunto en su totalidad, es decir, los costes operativos totales o el coste total de la </w:t>
      </w:r>
      <w:proofErr w:type="spellStart"/>
      <w:r>
        <w:rPr>
          <w:rFonts w:cs="Arial"/>
          <w:bCs/>
          <w:szCs w:val="20"/>
        </w:rPr>
        <w:t>propiedad</w:t>
      </w:r>
      <w:proofErr w:type="spellEnd"/>
      <w:r>
        <w:rPr>
          <w:rFonts w:cs="Arial"/>
          <w:bCs/>
          <w:szCs w:val="20"/>
        </w:rPr>
        <w:t xml:space="preserve">, </w:t>
      </w:r>
      <w:proofErr w:type="spellStart"/>
      <w:r>
        <w:rPr>
          <w:rFonts w:cs="Arial"/>
          <w:bCs/>
          <w:szCs w:val="20"/>
        </w:rPr>
        <w:t>se</w:t>
      </w:r>
      <w:r w:rsidR="00BB49ED">
        <w:rPr>
          <w:rFonts w:cs="Arial"/>
          <w:bCs/>
          <w:szCs w:val="20"/>
        </w:rPr>
        <w:t>muestra</w:t>
      </w:r>
      <w:proofErr w:type="spellEnd"/>
      <w:r w:rsidR="00BB49ED">
        <w:rPr>
          <w:rFonts w:cs="Arial"/>
          <w:bCs/>
          <w:szCs w:val="20"/>
        </w:rPr>
        <w:t xml:space="preserve"> </w:t>
      </w:r>
      <w:proofErr w:type="spellStart"/>
      <w:r>
        <w:rPr>
          <w:rFonts w:cs="Arial"/>
          <w:bCs/>
          <w:szCs w:val="20"/>
        </w:rPr>
        <w:t>una</w:t>
      </w:r>
      <w:proofErr w:type="spellEnd"/>
      <w:r>
        <w:rPr>
          <w:rFonts w:cs="Arial"/>
          <w:bCs/>
          <w:szCs w:val="20"/>
        </w:rPr>
        <w:t xml:space="preserve"> </w:t>
      </w:r>
      <w:proofErr w:type="spellStart"/>
      <w:r>
        <w:rPr>
          <w:rFonts w:cs="Arial"/>
          <w:bCs/>
          <w:szCs w:val="20"/>
        </w:rPr>
        <w:t>imagen</w:t>
      </w:r>
      <w:proofErr w:type="spellEnd"/>
      <w:r>
        <w:rPr>
          <w:rFonts w:cs="Arial"/>
          <w:bCs/>
          <w:szCs w:val="20"/>
        </w:rPr>
        <w:t xml:space="preserve"> </w:t>
      </w:r>
      <w:proofErr w:type="spellStart"/>
      <w:r>
        <w:rPr>
          <w:rFonts w:cs="Arial"/>
          <w:bCs/>
          <w:szCs w:val="20"/>
        </w:rPr>
        <w:t>diferente</w:t>
      </w:r>
      <w:proofErr w:type="spellEnd"/>
      <w:r>
        <w:rPr>
          <w:rFonts w:cs="Arial"/>
          <w:bCs/>
          <w:szCs w:val="20"/>
        </w:rPr>
        <w:t xml:space="preserve">. La automatización en el </w:t>
      </w:r>
      <w:proofErr w:type="spellStart"/>
      <w:r>
        <w:rPr>
          <w:rFonts w:cs="Arial"/>
          <w:bCs/>
          <w:szCs w:val="20"/>
        </w:rPr>
        <w:t>almacenamiento</w:t>
      </w:r>
      <w:proofErr w:type="spellEnd"/>
      <w:r>
        <w:rPr>
          <w:rFonts w:cs="Arial"/>
          <w:bCs/>
          <w:szCs w:val="20"/>
        </w:rPr>
        <w:t xml:space="preserve"> </w:t>
      </w:r>
      <w:r w:rsidR="00F2515A">
        <w:rPr>
          <w:rFonts w:cs="Arial"/>
          <w:bCs/>
          <w:szCs w:val="20"/>
        </w:rPr>
        <w:t xml:space="preserve">es </w:t>
      </w:r>
      <w:proofErr w:type="spellStart"/>
      <w:r>
        <w:rPr>
          <w:rFonts w:cs="Arial"/>
          <w:bCs/>
          <w:szCs w:val="20"/>
        </w:rPr>
        <w:t>especialmente</w:t>
      </w:r>
      <w:proofErr w:type="spellEnd"/>
      <w:r>
        <w:rPr>
          <w:rFonts w:cs="Arial"/>
          <w:bCs/>
          <w:szCs w:val="20"/>
        </w:rPr>
        <w:t xml:space="preserve"> </w:t>
      </w:r>
      <w:proofErr w:type="spellStart"/>
      <w:r w:rsidR="00D81889">
        <w:rPr>
          <w:rFonts w:cs="Arial"/>
          <w:bCs/>
          <w:szCs w:val="20"/>
        </w:rPr>
        <w:t>útil</w:t>
      </w:r>
      <w:proofErr w:type="spellEnd"/>
      <w:r>
        <w:rPr>
          <w:rFonts w:cs="Arial"/>
          <w:bCs/>
          <w:szCs w:val="20"/>
        </w:rPr>
        <w:t xml:space="preserve"> en la </w:t>
      </w:r>
      <w:proofErr w:type="spellStart"/>
      <w:r>
        <w:rPr>
          <w:rFonts w:cs="Arial"/>
          <w:bCs/>
          <w:szCs w:val="20"/>
        </w:rPr>
        <w:t>logística</w:t>
      </w:r>
      <w:proofErr w:type="spellEnd"/>
      <w:r>
        <w:rPr>
          <w:rFonts w:cs="Arial"/>
          <w:bCs/>
          <w:szCs w:val="20"/>
        </w:rPr>
        <w:t xml:space="preserve"> de ultracongelados, ya que los requisitos del comercio minorista de alimentación son elevados. La calidad de la preparación de pedidos debe ser perfecta, los envíos deben llegar puntualmente y la cadena del frío no puede romperse. Las empresas deben poder justificarla sin problemas y con solo pulsar un botón. Una menor dependencia del mercado laboral también permite a muchos gestores logísticos dormir mejor</w:t>
      </w:r>
      <w:r w:rsidR="000E6FC6">
        <w:rPr>
          <w:rFonts w:cs="Arial"/>
          <w:bCs/>
          <w:szCs w:val="20"/>
        </w:rPr>
        <w:t>.</w:t>
      </w:r>
      <w:r>
        <w:rPr>
          <w:rFonts w:cs="Arial"/>
          <w:bCs/>
          <w:szCs w:val="20"/>
        </w:rPr>
        <w:t xml:space="preserve"> La minimización de pérdidas de mercancías, por ejemplo, a consecuencia de daños ocasionados por carretillas elevadoras, tiene una influencia positiva adicional en este ejemplo de negocio.</w:t>
      </w:r>
    </w:p>
    <w:p w14:paraId="6DE5C592" w14:textId="22D96907" w:rsidR="00E4069D" w:rsidRPr="003E164B" w:rsidRDefault="00E4069D" w:rsidP="00F91B54">
      <w:pPr>
        <w:spacing w:line="360" w:lineRule="auto"/>
        <w:ind w:left="0" w:right="1693"/>
        <w:rPr>
          <w:rFonts w:cs="Arial"/>
          <w:bCs/>
          <w:szCs w:val="20"/>
        </w:rPr>
      </w:pPr>
    </w:p>
    <w:p w14:paraId="099EF61B" w14:textId="3EF28474" w:rsidR="00E4069D" w:rsidRPr="003E164B" w:rsidRDefault="00E4069D" w:rsidP="00F91B54">
      <w:pPr>
        <w:spacing w:line="360" w:lineRule="auto"/>
        <w:ind w:left="0" w:right="1693"/>
        <w:rPr>
          <w:rFonts w:cs="Arial"/>
          <w:b/>
          <w:szCs w:val="20"/>
        </w:rPr>
      </w:pPr>
      <w:r>
        <w:rPr>
          <w:rFonts w:cs="Arial"/>
          <w:b/>
          <w:szCs w:val="20"/>
        </w:rPr>
        <w:t>¿Qué grado de importancia tiene la transparencia?</w:t>
      </w:r>
    </w:p>
    <w:p w14:paraId="283C21AB" w14:textId="31FFBE10" w:rsidR="006C15F7" w:rsidRDefault="00E4069D" w:rsidP="00F91B54">
      <w:pPr>
        <w:spacing w:line="360" w:lineRule="auto"/>
        <w:ind w:left="0" w:right="1693"/>
        <w:rPr>
          <w:rFonts w:cs="Arial"/>
          <w:bCs/>
          <w:szCs w:val="20"/>
        </w:rPr>
      </w:pPr>
      <w:r>
        <w:rPr>
          <w:rFonts w:cs="Arial"/>
          <w:bCs/>
          <w:szCs w:val="20"/>
        </w:rPr>
        <w:t xml:space="preserve">Tomemos el ejemplo de las retiradas de productos. En el peor de los casos, tanto el productor como los comercios deben poder identificar los lotes afectados con unos pocos clics. Las empresas solo pueden conseguir una transparencia así con ayuda de la digitalización y la automatización en la cadena de suministro. Cada vez son más los productores de alimentos que también ofrecen a sus clientes el seguimiento de la cadena de suministro al completo, como, por ejemplo, en el caso del pescado, desde la pesca </w:t>
      </w:r>
      <w:proofErr w:type="spellStart"/>
      <w:r>
        <w:rPr>
          <w:rFonts w:cs="Arial"/>
          <w:bCs/>
          <w:szCs w:val="20"/>
        </w:rPr>
        <w:t>hasta</w:t>
      </w:r>
      <w:proofErr w:type="spellEnd"/>
      <w:r>
        <w:rPr>
          <w:rFonts w:cs="Arial"/>
          <w:bCs/>
          <w:szCs w:val="20"/>
        </w:rPr>
        <w:t xml:space="preserve"> el </w:t>
      </w:r>
      <w:proofErr w:type="spellStart"/>
      <w:r w:rsidR="00432B82">
        <w:rPr>
          <w:rFonts w:cs="Arial"/>
          <w:bCs/>
          <w:szCs w:val="20"/>
        </w:rPr>
        <w:t>contenedor</w:t>
      </w:r>
      <w:proofErr w:type="spellEnd"/>
      <w:r w:rsidR="00432B82">
        <w:rPr>
          <w:rFonts w:cs="Arial"/>
          <w:bCs/>
          <w:szCs w:val="20"/>
        </w:rPr>
        <w:t xml:space="preserve"> </w:t>
      </w:r>
      <w:r>
        <w:rPr>
          <w:rFonts w:cs="Arial"/>
          <w:bCs/>
          <w:szCs w:val="20"/>
        </w:rPr>
        <w:t xml:space="preserve">de </w:t>
      </w:r>
      <w:proofErr w:type="spellStart"/>
      <w:r>
        <w:rPr>
          <w:rFonts w:cs="Arial"/>
          <w:bCs/>
          <w:szCs w:val="20"/>
        </w:rPr>
        <w:t>congelados</w:t>
      </w:r>
      <w:proofErr w:type="spellEnd"/>
      <w:r>
        <w:rPr>
          <w:rFonts w:cs="Arial"/>
          <w:bCs/>
          <w:szCs w:val="20"/>
        </w:rPr>
        <w:t xml:space="preserve">. Esto también es posible gracias a la tecnología de la información que se usa en las soluciones de almacenamiento automatizadas. Además de la digitalización, la sostenibilidad y la escasez de mano de obra son los mayores impulsores de los </w:t>
      </w:r>
      <w:proofErr w:type="spellStart"/>
      <w:r>
        <w:rPr>
          <w:rFonts w:cs="Arial"/>
          <w:bCs/>
          <w:szCs w:val="20"/>
        </w:rPr>
        <w:t>nuevos</w:t>
      </w:r>
      <w:proofErr w:type="spellEnd"/>
      <w:r>
        <w:rPr>
          <w:rFonts w:cs="Arial"/>
          <w:bCs/>
          <w:szCs w:val="20"/>
        </w:rPr>
        <w:t xml:space="preserve"> </w:t>
      </w:r>
      <w:proofErr w:type="spellStart"/>
      <w:r>
        <w:rPr>
          <w:rFonts w:cs="Arial"/>
          <w:bCs/>
          <w:szCs w:val="20"/>
        </w:rPr>
        <w:t>proyectos</w:t>
      </w:r>
      <w:proofErr w:type="spellEnd"/>
      <w:r>
        <w:rPr>
          <w:rFonts w:cs="Arial"/>
          <w:bCs/>
          <w:szCs w:val="20"/>
        </w:rPr>
        <w:t xml:space="preserve"> de </w:t>
      </w:r>
      <w:proofErr w:type="spellStart"/>
      <w:r>
        <w:rPr>
          <w:rFonts w:cs="Arial"/>
          <w:bCs/>
          <w:szCs w:val="20"/>
        </w:rPr>
        <w:t>automatización</w:t>
      </w:r>
      <w:proofErr w:type="spellEnd"/>
      <w:r>
        <w:rPr>
          <w:rFonts w:cs="Arial"/>
          <w:bCs/>
          <w:szCs w:val="20"/>
        </w:rPr>
        <w:t>.</w:t>
      </w:r>
    </w:p>
    <w:p w14:paraId="3D2C7DC9" w14:textId="332817EB" w:rsidR="00C0453B" w:rsidRDefault="00C0453B" w:rsidP="00F91B54">
      <w:pPr>
        <w:spacing w:line="360" w:lineRule="auto"/>
        <w:ind w:left="0" w:right="1693"/>
        <w:rPr>
          <w:rFonts w:cs="Arial"/>
          <w:bCs/>
          <w:szCs w:val="20"/>
        </w:rPr>
      </w:pPr>
    </w:p>
    <w:p w14:paraId="242A63D2" w14:textId="7261D78D" w:rsidR="00D81889" w:rsidRDefault="00D81889" w:rsidP="00F91B54">
      <w:pPr>
        <w:spacing w:line="360" w:lineRule="auto"/>
        <w:ind w:left="0" w:right="1693"/>
        <w:rPr>
          <w:rFonts w:cs="Arial"/>
          <w:bCs/>
          <w:szCs w:val="20"/>
        </w:rPr>
      </w:pPr>
    </w:p>
    <w:p w14:paraId="2E974053" w14:textId="77777777" w:rsidR="00D81889" w:rsidRDefault="00D81889" w:rsidP="00F91B54">
      <w:pPr>
        <w:spacing w:line="360" w:lineRule="auto"/>
        <w:ind w:left="0" w:right="1693"/>
        <w:rPr>
          <w:rFonts w:cs="Arial"/>
          <w:bCs/>
          <w:szCs w:val="20"/>
        </w:rPr>
      </w:pPr>
    </w:p>
    <w:p w14:paraId="50A495DB" w14:textId="35070FD4" w:rsidR="006C15F7" w:rsidRPr="003E164B" w:rsidRDefault="006C15F7" w:rsidP="00F91B54">
      <w:pPr>
        <w:spacing w:line="360" w:lineRule="auto"/>
        <w:ind w:left="0" w:right="1693"/>
        <w:rPr>
          <w:rFonts w:cs="Arial"/>
          <w:b/>
          <w:szCs w:val="20"/>
        </w:rPr>
      </w:pPr>
      <w:r>
        <w:rPr>
          <w:rFonts w:cs="Arial"/>
          <w:b/>
          <w:szCs w:val="20"/>
        </w:rPr>
        <w:t>¿</w:t>
      </w:r>
      <w:proofErr w:type="spellStart"/>
      <w:r>
        <w:rPr>
          <w:rFonts w:cs="Arial"/>
          <w:b/>
          <w:szCs w:val="20"/>
        </w:rPr>
        <w:t>Por</w:t>
      </w:r>
      <w:proofErr w:type="spellEnd"/>
      <w:r>
        <w:rPr>
          <w:rFonts w:cs="Arial"/>
          <w:b/>
          <w:szCs w:val="20"/>
        </w:rPr>
        <w:t xml:space="preserve"> </w:t>
      </w:r>
      <w:proofErr w:type="spellStart"/>
      <w:r>
        <w:rPr>
          <w:rFonts w:cs="Arial"/>
          <w:b/>
          <w:szCs w:val="20"/>
        </w:rPr>
        <w:t>qué</w:t>
      </w:r>
      <w:proofErr w:type="spellEnd"/>
      <w:r>
        <w:rPr>
          <w:rFonts w:cs="Arial"/>
          <w:b/>
          <w:szCs w:val="20"/>
        </w:rPr>
        <w:t xml:space="preserve"> es </w:t>
      </w:r>
      <w:proofErr w:type="spellStart"/>
      <w:r>
        <w:rPr>
          <w:rFonts w:cs="Arial"/>
          <w:b/>
          <w:szCs w:val="20"/>
        </w:rPr>
        <w:t>importante</w:t>
      </w:r>
      <w:proofErr w:type="spellEnd"/>
      <w:r>
        <w:rPr>
          <w:rFonts w:cs="Arial"/>
          <w:b/>
          <w:szCs w:val="20"/>
        </w:rPr>
        <w:t xml:space="preserve"> la sostenibilidad?</w:t>
      </w:r>
    </w:p>
    <w:p w14:paraId="451416D0" w14:textId="1D393A13" w:rsidR="006C15F7" w:rsidRPr="003E164B" w:rsidRDefault="00DD1988" w:rsidP="00F91B54">
      <w:pPr>
        <w:spacing w:line="360" w:lineRule="auto"/>
        <w:ind w:left="0" w:right="1693"/>
        <w:rPr>
          <w:rFonts w:cs="Arial"/>
          <w:bCs/>
          <w:szCs w:val="20"/>
        </w:rPr>
      </w:pPr>
      <w:r>
        <w:rPr>
          <w:rFonts w:cs="Arial"/>
          <w:bCs/>
          <w:szCs w:val="20"/>
        </w:rPr>
        <w:t xml:space="preserve">En tiempos en los que el cambio climático está avanzando, muchas empresas toman conciencia de su responsabilidad en el ahorro de recursos. Esto también cobra cada vez </w:t>
      </w:r>
      <w:r>
        <w:rPr>
          <w:rFonts w:cs="Arial"/>
          <w:bCs/>
          <w:szCs w:val="20"/>
        </w:rPr>
        <w:lastRenderedPageBreak/>
        <w:t xml:space="preserve">más importancia en la comunicación con los clientes, tal y como demuestra la campaña de COOP "Hechos en lugar de palabras" que incluye casi 400 medidas. Muchas empresas se han propuesto ambiciosos objetivos para reducir su consumo energético o sus </w:t>
      </w:r>
      <w:proofErr w:type="spellStart"/>
      <w:r>
        <w:rPr>
          <w:rFonts w:cs="Arial"/>
          <w:bCs/>
          <w:szCs w:val="20"/>
        </w:rPr>
        <w:t>emisiones</w:t>
      </w:r>
      <w:proofErr w:type="spellEnd"/>
      <w:r>
        <w:rPr>
          <w:rFonts w:cs="Arial"/>
          <w:bCs/>
          <w:szCs w:val="20"/>
        </w:rPr>
        <w:t xml:space="preserve">, o </w:t>
      </w:r>
      <w:proofErr w:type="spellStart"/>
      <w:r>
        <w:rPr>
          <w:rFonts w:cs="Arial"/>
          <w:bCs/>
          <w:szCs w:val="20"/>
        </w:rPr>
        <w:t>incluso</w:t>
      </w:r>
      <w:proofErr w:type="spellEnd"/>
      <w:r>
        <w:rPr>
          <w:rFonts w:cs="Arial"/>
          <w:bCs/>
          <w:szCs w:val="20"/>
        </w:rPr>
        <w:t xml:space="preserve"> </w:t>
      </w:r>
      <w:proofErr w:type="spellStart"/>
      <w:r>
        <w:rPr>
          <w:rFonts w:cs="Arial"/>
          <w:bCs/>
          <w:szCs w:val="20"/>
        </w:rPr>
        <w:t>operar</w:t>
      </w:r>
      <w:proofErr w:type="spellEnd"/>
      <w:r>
        <w:rPr>
          <w:rFonts w:cs="Arial"/>
          <w:bCs/>
          <w:szCs w:val="20"/>
        </w:rPr>
        <w:t xml:space="preserve"> </w:t>
      </w:r>
      <w:proofErr w:type="spellStart"/>
      <w:r>
        <w:rPr>
          <w:rFonts w:cs="Arial"/>
          <w:bCs/>
          <w:szCs w:val="20"/>
        </w:rPr>
        <w:t>con</w:t>
      </w:r>
      <w:proofErr w:type="spellEnd"/>
      <w:r>
        <w:rPr>
          <w:rFonts w:cs="Arial"/>
          <w:bCs/>
          <w:szCs w:val="20"/>
        </w:rPr>
        <w:t xml:space="preserve"> total </w:t>
      </w:r>
      <w:proofErr w:type="spellStart"/>
      <w:r>
        <w:rPr>
          <w:rFonts w:cs="Arial"/>
          <w:bCs/>
          <w:szCs w:val="20"/>
        </w:rPr>
        <w:t>neutralidad</w:t>
      </w:r>
      <w:proofErr w:type="spellEnd"/>
      <w:r>
        <w:rPr>
          <w:rFonts w:cs="Arial"/>
          <w:bCs/>
          <w:szCs w:val="20"/>
        </w:rPr>
        <w:t xml:space="preserve"> de CO</w:t>
      </w:r>
      <w:r>
        <w:rPr>
          <w:rFonts w:cs="Arial"/>
          <w:bCs/>
          <w:szCs w:val="20"/>
          <w:vertAlign w:val="subscript"/>
        </w:rPr>
        <w:t>2</w:t>
      </w:r>
      <w:r>
        <w:rPr>
          <w:rFonts w:cs="Arial"/>
          <w:bCs/>
          <w:szCs w:val="20"/>
        </w:rPr>
        <w:t>. Para ello, examinan con lupa cada eslabón de la cadena de suministro. Con la centralización de sus centros de distribución en una única e innovadora instalación, COOP es capaz de ahorrar, por ejemplo, hasta 10 000 toneladas de dióxido de carbono. Un viejo almacén manual de ultracongelados refrigerado a -25 grados Celsius requiere mucha más energía que una instalación nueva automatizada y de volumen optimizado con el mismo rendimiento. El incremento continuo de los costes energéticos hace que la sostenibilidad sea atractiva, sobre todo desde el punto de vista económico.</w:t>
      </w:r>
    </w:p>
    <w:p w14:paraId="1C658300" w14:textId="7D5F5C75" w:rsidR="00153D8F" w:rsidRPr="003E164B" w:rsidRDefault="00153D8F" w:rsidP="00F91B54">
      <w:pPr>
        <w:spacing w:line="360" w:lineRule="auto"/>
        <w:ind w:left="0" w:right="1693"/>
        <w:rPr>
          <w:rFonts w:cs="Arial"/>
          <w:bCs/>
          <w:szCs w:val="20"/>
        </w:rPr>
      </w:pPr>
    </w:p>
    <w:p w14:paraId="4E6ADCF4" w14:textId="020682F6" w:rsidR="00153D8F" w:rsidRPr="003E164B" w:rsidRDefault="00153D8F" w:rsidP="00F91B54">
      <w:pPr>
        <w:spacing w:line="360" w:lineRule="auto"/>
        <w:ind w:left="0" w:right="1693"/>
        <w:rPr>
          <w:rFonts w:cs="Arial"/>
          <w:b/>
          <w:szCs w:val="20"/>
        </w:rPr>
      </w:pPr>
      <w:r>
        <w:rPr>
          <w:rFonts w:cs="Arial"/>
          <w:b/>
          <w:szCs w:val="20"/>
        </w:rPr>
        <w:t xml:space="preserve">¿Por qué </w:t>
      </w:r>
      <w:r w:rsidR="0070462F">
        <w:rPr>
          <w:rFonts w:cs="Arial"/>
          <w:b/>
          <w:szCs w:val="20"/>
        </w:rPr>
        <w:t xml:space="preserve">la escasez </w:t>
      </w:r>
      <w:r w:rsidR="00D81889">
        <w:rPr>
          <w:rFonts w:cs="Arial"/>
          <w:b/>
          <w:szCs w:val="20"/>
        </w:rPr>
        <w:t xml:space="preserve">de mano de </w:t>
      </w:r>
      <w:proofErr w:type="spellStart"/>
      <w:r w:rsidR="00D81889">
        <w:rPr>
          <w:rFonts w:cs="Arial"/>
          <w:b/>
          <w:szCs w:val="20"/>
        </w:rPr>
        <w:t>obra</w:t>
      </w:r>
      <w:proofErr w:type="spellEnd"/>
      <w:r w:rsidR="00D81889">
        <w:rPr>
          <w:rFonts w:cs="Arial"/>
          <w:b/>
          <w:szCs w:val="20"/>
        </w:rPr>
        <w:t xml:space="preserve"> es </w:t>
      </w:r>
      <w:proofErr w:type="spellStart"/>
      <w:r w:rsidR="00D81889">
        <w:rPr>
          <w:rFonts w:cs="Arial"/>
          <w:b/>
          <w:szCs w:val="20"/>
        </w:rPr>
        <w:t>un</w:t>
      </w:r>
      <w:proofErr w:type="spellEnd"/>
      <w:r>
        <w:rPr>
          <w:rFonts w:cs="Arial"/>
          <w:b/>
          <w:szCs w:val="20"/>
        </w:rPr>
        <w:t xml:space="preserve"> </w:t>
      </w:r>
      <w:proofErr w:type="spellStart"/>
      <w:r>
        <w:rPr>
          <w:rFonts w:cs="Arial"/>
          <w:b/>
          <w:szCs w:val="20"/>
        </w:rPr>
        <w:t>tema</w:t>
      </w:r>
      <w:proofErr w:type="spellEnd"/>
      <w:r>
        <w:rPr>
          <w:rFonts w:cs="Arial"/>
          <w:b/>
          <w:szCs w:val="20"/>
        </w:rPr>
        <w:t xml:space="preserve"> </w:t>
      </w:r>
      <w:proofErr w:type="spellStart"/>
      <w:r w:rsidR="0070462F">
        <w:rPr>
          <w:rFonts w:cs="Arial"/>
          <w:b/>
          <w:szCs w:val="20"/>
        </w:rPr>
        <w:t>importante</w:t>
      </w:r>
      <w:proofErr w:type="spellEnd"/>
      <w:r w:rsidR="0070462F">
        <w:rPr>
          <w:rFonts w:cs="Arial"/>
          <w:b/>
          <w:szCs w:val="20"/>
        </w:rPr>
        <w:t xml:space="preserve"> </w:t>
      </w:r>
      <w:proofErr w:type="spellStart"/>
      <w:r w:rsidR="0070462F">
        <w:rPr>
          <w:rFonts w:cs="Arial"/>
          <w:b/>
          <w:szCs w:val="20"/>
        </w:rPr>
        <w:t>para</w:t>
      </w:r>
      <w:proofErr w:type="spellEnd"/>
      <w:r w:rsidR="0070462F">
        <w:rPr>
          <w:rFonts w:cs="Arial"/>
          <w:b/>
          <w:szCs w:val="20"/>
        </w:rPr>
        <w:t xml:space="preserve"> la industria? </w:t>
      </w:r>
    </w:p>
    <w:p w14:paraId="0C5D0DBA" w14:textId="1A172A8B" w:rsidR="00547714" w:rsidRDefault="00153D8F" w:rsidP="00F91B54">
      <w:pPr>
        <w:spacing w:line="360" w:lineRule="auto"/>
        <w:ind w:left="0" w:right="1693"/>
        <w:rPr>
          <w:rFonts w:cs="Arial"/>
          <w:bCs/>
          <w:szCs w:val="20"/>
        </w:rPr>
      </w:pPr>
      <w:r>
        <w:rPr>
          <w:rFonts w:cs="Arial"/>
          <w:bCs/>
          <w:szCs w:val="20"/>
        </w:rPr>
        <w:t xml:space="preserve">Ese suele ser el argumento de más peso a la hora de tomar una decisión de inversión. En Europa Occidental es muy difícil encontrar mano de obra para almacenes de ultracongelados aparte de los administrativos que realizan las tareas de gestión en oficina. Hay ejemplos de instalaciones en Europa Occidental en las que prácticamente solo hay trabajadores de Ucrania o de otros países lejanos. Las condiciones laborales en el frío glacial son duras. La rotación del personal es elevada, aunque en muchos </w:t>
      </w:r>
      <w:proofErr w:type="spellStart"/>
      <w:r>
        <w:rPr>
          <w:rFonts w:cs="Arial"/>
          <w:bCs/>
          <w:szCs w:val="20"/>
        </w:rPr>
        <w:t>países</w:t>
      </w:r>
      <w:proofErr w:type="spellEnd"/>
      <w:r>
        <w:rPr>
          <w:rFonts w:cs="Arial"/>
          <w:bCs/>
          <w:szCs w:val="20"/>
        </w:rPr>
        <w:t xml:space="preserve"> se pagan </w:t>
      </w:r>
      <w:proofErr w:type="spellStart"/>
      <w:r>
        <w:rPr>
          <w:rFonts w:cs="Arial"/>
          <w:bCs/>
          <w:szCs w:val="20"/>
        </w:rPr>
        <w:t>complementos</w:t>
      </w:r>
      <w:proofErr w:type="spellEnd"/>
      <w:r>
        <w:rPr>
          <w:rFonts w:cs="Arial"/>
          <w:bCs/>
          <w:szCs w:val="20"/>
        </w:rPr>
        <w:t xml:space="preserve"> </w:t>
      </w:r>
      <w:proofErr w:type="spellStart"/>
      <w:r>
        <w:rPr>
          <w:rFonts w:cs="Arial"/>
          <w:bCs/>
          <w:szCs w:val="20"/>
        </w:rPr>
        <w:t>salariales</w:t>
      </w:r>
      <w:proofErr w:type="spellEnd"/>
      <w:r w:rsidR="00AB4D9C">
        <w:rPr>
          <w:rFonts w:cs="Arial"/>
          <w:bCs/>
          <w:szCs w:val="20"/>
        </w:rPr>
        <w:t xml:space="preserve"> </w:t>
      </w:r>
      <w:proofErr w:type="spellStart"/>
      <w:r w:rsidR="00AB697D">
        <w:rPr>
          <w:rFonts w:cs="Arial"/>
          <w:bCs/>
          <w:szCs w:val="20"/>
        </w:rPr>
        <w:t>sustanciales</w:t>
      </w:r>
      <w:proofErr w:type="spellEnd"/>
      <w:r>
        <w:rPr>
          <w:rFonts w:cs="Arial"/>
          <w:bCs/>
          <w:szCs w:val="20"/>
        </w:rPr>
        <w:t xml:space="preserve">. Encontrar empleados, formarlos y mantenerlos cada vez es más difícil. A ello se añade que, debido a la normativa que regula las pausas, el personal permanece en la instalación menos tiempo que los empleados de los almacenes a temperatura ambiente. </w:t>
      </w:r>
      <w:proofErr w:type="spellStart"/>
      <w:r w:rsidR="00D81889">
        <w:rPr>
          <w:rFonts w:cs="Arial"/>
          <w:bCs/>
          <w:szCs w:val="20"/>
        </w:rPr>
        <w:t>Según</w:t>
      </w:r>
      <w:proofErr w:type="spellEnd"/>
      <w:r>
        <w:rPr>
          <w:rFonts w:cs="Arial"/>
          <w:bCs/>
          <w:szCs w:val="20"/>
        </w:rPr>
        <w:t xml:space="preserve"> la </w:t>
      </w:r>
      <w:proofErr w:type="spellStart"/>
      <w:r w:rsidR="0075624F">
        <w:rPr>
          <w:rFonts w:cs="Arial"/>
          <w:bCs/>
          <w:szCs w:val="20"/>
        </w:rPr>
        <w:t>norma</w:t>
      </w:r>
      <w:proofErr w:type="spellEnd"/>
      <w:r w:rsidR="0075624F">
        <w:rPr>
          <w:rFonts w:cs="Arial"/>
          <w:bCs/>
          <w:szCs w:val="20"/>
        </w:rPr>
        <w:t xml:space="preserve"> </w:t>
      </w:r>
      <w:r>
        <w:rPr>
          <w:rFonts w:cs="Arial"/>
          <w:color w:val="333333"/>
          <w:szCs w:val="20"/>
          <w:shd w:val="clear" w:color="auto" w:fill="FFFFFF"/>
        </w:rPr>
        <w:t>DIN 33403-5, debe hacerse una pausa de 30 minutos tras 90 minutos de trabajo</w:t>
      </w:r>
      <w:r>
        <w:rPr>
          <w:rFonts w:cs="Arial"/>
          <w:bCs/>
          <w:szCs w:val="20"/>
        </w:rPr>
        <w:t xml:space="preserve">. Esto es esencial para que el trabajo se pueda realizar y soportar a largo plazo. Sin embargo, </w:t>
      </w:r>
      <w:r w:rsidR="00667B5A">
        <w:rPr>
          <w:rFonts w:cs="Arial"/>
          <w:bCs/>
          <w:szCs w:val="20"/>
        </w:rPr>
        <w:t xml:space="preserve">hace que los argumentos </w:t>
      </w:r>
      <w:proofErr w:type="spellStart"/>
      <w:r w:rsidR="00667B5A">
        <w:rPr>
          <w:rFonts w:cs="Arial"/>
          <w:bCs/>
          <w:szCs w:val="20"/>
        </w:rPr>
        <w:t>comerciales</w:t>
      </w:r>
      <w:proofErr w:type="spellEnd"/>
      <w:r w:rsidR="00667B5A">
        <w:rPr>
          <w:rFonts w:cs="Arial"/>
          <w:bCs/>
          <w:szCs w:val="20"/>
        </w:rPr>
        <w:t xml:space="preserve"> </w:t>
      </w:r>
      <w:proofErr w:type="spellStart"/>
      <w:r w:rsidR="00667B5A">
        <w:rPr>
          <w:rFonts w:cs="Arial"/>
          <w:bCs/>
          <w:szCs w:val="20"/>
        </w:rPr>
        <w:t>para</w:t>
      </w:r>
      <w:proofErr w:type="spellEnd"/>
      <w:r w:rsidR="00667B5A">
        <w:rPr>
          <w:rFonts w:cs="Arial"/>
          <w:bCs/>
          <w:szCs w:val="20"/>
        </w:rPr>
        <w:t xml:space="preserve"> </w:t>
      </w:r>
      <w:proofErr w:type="spellStart"/>
      <w:r w:rsidR="00667B5A">
        <w:rPr>
          <w:rFonts w:cs="Arial"/>
          <w:bCs/>
          <w:szCs w:val="20"/>
        </w:rPr>
        <w:t>un</w:t>
      </w:r>
      <w:proofErr w:type="spellEnd"/>
      <w:r w:rsidR="00667B5A">
        <w:rPr>
          <w:rFonts w:cs="Arial"/>
          <w:bCs/>
          <w:szCs w:val="20"/>
        </w:rPr>
        <w:t xml:space="preserve"> </w:t>
      </w:r>
      <w:proofErr w:type="spellStart"/>
      <w:r>
        <w:rPr>
          <w:rFonts w:cs="Arial"/>
          <w:bCs/>
          <w:szCs w:val="20"/>
        </w:rPr>
        <w:t>almacén</w:t>
      </w:r>
      <w:proofErr w:type="spellEnd"/>
      <w:r>
        <w:rPr>
          <w:rFonts w:cs="Arial"/>
          <w:bCs/>
          <w:szCs w:val="20"/>
        </w:rPr>
        <w:t xml:space="preserve"> </w:t>
      </w:r>
      <w:proofErr w:type="spellStart"/>
      <w:r>
        <w:rPr>
          <w:rFonts w:cs="Arial"/>
          <w:bCs/>
          <w:szCs w:val="20"/>
        </w:rPr>
        <w:t>frigorífico</w:t>
      </w:r>
      <w:proofErr w:type="spellEnd"/>
      <w:r>
        <w:rPr>
          <w:rFonts w:cs="Arial"/>
          <w:bCs/>
          <w:szCs w:val="20"/>
        </w:rPr>
        <w:t xml:space="preserve"> </w:t>
      </w:r>
      <w:proofErr w:type="spellStart"/>
      <w:r>
        <w:rPr>
          <w:rFonts w:cs="Arial"/>
          <w:bCs/>
          <w:szCs w:val="20"/>
        </w:rPr>
        <w:t>operado</w:t>
      </w:r>
      <w:proofErr w:type="spellEnd"/>
      <w:r>
        <w:rPr>
          <w:rFonts w:cs="Arial"/>
          <w:bCs/>
          <w:szCs w:val="20"/>
        </w:rPr>
        <w:t xml:space="preserve"> </w:t>
      </w:r>
      <w:proofErr w:type="spellStart"/>
      <w:r>
        <w:rPr>
          <w:rFonts w:cs="Arial"/>
          <w:bCs/>
          <w:szCs w:val="20"/>
        </w:rPr>
        <w:t>manualmente</w:t>
      </w:r>
      <w:proofErr w:type="spellEnd"/>
      <w:r>
        <w:rPr>
          <w:rFonts w:cs="Arial"/>
          <w:bCs/>
          <w:szCs w:val="20"/>
        </w:rPr>
        <w:t xml:space="preserve"> </w:t>
      </w:r>
      <w:r w:rsidR="00667B5A">
        <w:rPr>
          <w:rFonts w:cs="Arial"/>
          <w:bCs/>
          <w:szCs w:val="20"/>
        </w:rPr>
        <w:t xml:space="preserve">sean mucho más débiles que los </w:t>
      </w:r>
      <w:proofErr w:type="spellStart"/>
      <w:r w:rsidR="00667B5A">
        <w:rPr>
          <w:rFonts w:cs="Arial"/>
          <w:bCs/>
          <w:szCs w:val="20"/>
        </w:rPr>
        <w:t>argumentos</w:t>
      </w:r>
      <w:proofErr w:type="spellEnd"/>
      <w:r w:rsidR="00667B5A">
        <w:rPr>
          <w:rFonts w:cs="Arial"/>
          <w:bCs/>
          <w:szCs w:val="20"/>
        </w:rPr>
        <w:t xml:space="preserve"> </w:t>
      </w:r>
      <w:proofErr w:type="spellStart"/>
      <w:r w:rsidR="00667B5A">
        <w:rPr>
          <w:rFonts w:cs="Arial"/>
          <w:bCs/>
          <w:szCs w:val="20"/>
        </w:rPr>
        <w:t>para</w:t>
      </w:r>
      <w:proofErr w:type="spellEnd"/>
      <w:r w:rsidR="00667B5A">
        <w:rPr>
          <w:rFonts w:cs="Arial"/>
          <w:bCs/>
          <w:szCs w:val="20"/>
        </w:rPr>
        <w:t xml:space="preserve"> </w:t>
      </w:r>
      <w:proofErr w:type="spellStart"/>
      <w:r w:rsidR="00667B5A">
        <w:rPr>
          <w:rFonts w:cs="Arial"/>
          <w:bCs/>
          <w:szCs w:val="20"/>
        </w:rPr>
        <w:t>una</w:t>
      </w:r>
      <w:proofErr w:type="spellEnd"/>
      <w:r w:rsidR="00667B5A">
        <w:rPr>
          <w:rFonts w:cs="Arial"/>
          <w:bCs/>
          <w:szCs w:val="20"/>
        </w:rPr>
        <w:t xml:space="preserve"> </w:t>
      </w:r>
      <w:proofErr w:type="spellStart"/>
      <w:r>
        <w:rPr>
          <w:rFonts w:cs="Arial"/>
          <w:bCs/>
          <w:szCs w:val="20"/>
        </w:rPr>
        <w:t>instalación</w:t>
      </w:r>
      <w:proofErr w:type="spellEnd"/>
      <w:r>
        <w:rPr>
          <w:rFonts w:cs="Arial"/>
          <w:bCs/>
          <w:szCs w:val="20"/>
        </w:rPr>
        <w:t xml:space="preserve"> no </w:t>
      </w:r>
      <w:proofErr w:type="spellStart"/>
      <w:r>
        <w:rPr>
          <w:rFonts w:cs="Arial"/>
          <w:bCs/>
          <w:szCs w:val="20"/>
        </w:rPr>
        <w:t>refrigerada</w:t>
      </w:r>
      <w:proofErr w:type="spellEnd"/>
      <w:r>
        <w:rPr>
          <w:rFonts w:cs="Arial"/>
          <w:bCs/>
          <w:szCs w:val="20"/>
        </w:rPr>
        <w:t xml:space="preserve">. </w:t>
      </w:r>
    </w:p>
    <w:p w14:paraId="1D118376" w14:textId="2EEB502F" w:rsidR="006E30D5" w:rsidRPr="003E164B" w:rsidRDefault="006E30D5" w:rsidP="006231AE">
      <w:pPr>
        <w:spacing w:line="360" w:lineRule="auto"/>
        <w:ind w:left="0" w:right="1693"/>
        <w:rPr>
          <w:rFonts w:cs="Arial"/>
          <w:bCs/>
          <w:szCs w:val="20"/>
        </w:rPr>
      </w:pPr>
    </w:p>
    <w:p w14:paraId="7442C929" w14:textId="77777777" w:rsidR="00A24347" w:rsidRPr="003E164B" w:rsidRDefault="003143E2" w:rsidP="006231AE">
      <w:pPr>
        <w:spacing w:line="360" w:lineRule="auto"/>
        <w:ind w:left="0" w:right="1693"/>
        <w:rPr>
          <w:rFonts w:cs="Arial"/>
          <w:bCs/>
          <w:szCs w:val="20"/>
        </w:rPr>
      </w:pPr>
      <w:r>
        <w:rPr>
          <w:rFonts w:cs="Arial"/>
          <w:b/>
          <w:szCs w:val="20"/>
        </w:rPr>
        <w:t>¿Cómo mejora la situación laboral en un almacén refrigerado automatizado?</w:t>
      </w:r>
      <w:r>
        <w:rPr>
          <w:rFonts w:cs="Arial"/>
          <w:bCs/>
          <w:szCs w:val="20"/>
        </w:rPr>
        <w:t xml:space="preserve"> </w:t>
      </w:r>
    </w:p>
    <w:p w14:paraId="2C27B0D2" w14:textId="4A009783" w:rsidR="006E30D5" w:rsidRDefault="0034316E" w:rsidP="006231AE">
      <w:pPr>
        <w:spacing w:line="360" w:lineRule="auto"/>
        <w:ind w:left="0" w:right="1693"/>
        <w:rPr>
          <w:rFonts w:cs="Arial"/>
          <w:bCs/>
          <w:szCs w:val="20"/>
        </w:rPr>
      </w:pPr>
      <w:r>
        <w:rPr>
          <w:rFonts w:cs="Arial"/>
          <w:bCs/>
          <w:szCs w:val="20"/>
        </w:rPr>
        <w:t>La automatización sustituye al duro trabajo físico a muy baja temperatura. Al mismo tiempo, la solución ha sido concebida de tal modo que las actividades que deben realizarse se trasladen a zonas de temperatura menos frías a entre -5 y -2 grados. Entre estos procesos están la recepción y la salida de mercancías, la preparación de pedidos y la paletización y la respectiva despaletización. Los dos últimos procesos también pueden automatizarse con robots. En definitiva, la automatización crea puestos de trabajo más cualificados, por ejemplo, en la sala de control.</w:t>
      </w:r>
    </w:p>
    <w:p w14:paraId="13C154EF" w14:textId="77777777" w:rsidR="00BE59A5" w:rsidRPr="003E164B" w:rsidRDefault="00BE59A5" w:rsidP="006231AE">
      <w:pPr>
        <w:spacing w:line="360" w:lineRule="auto"/>
        <w:ind w:left="0" w:right="1693"/>
        <w:rPr>
          <w:rFonts w:cs="Arial"/>
          <w:bCs/>
          <w:szCs w:val="20"/>
        </w:rPr>
      </w:pPr>
    </w:p>
    <w:p w14:paraId="00002996" w14:textId="49F88A08" w:rsidR="006E30D5" w:rsidRDefault="006E30D5" w:rsidP="006231AE">
      <w:pPr>
        <w:spacing w:line="360" w:lineRule="auto"/>
        <w:ind w:left="0" w:right="1693"/>
        <w:rPr>
          <w:rFonts w:cs="Arial"/>
          <w:bCs/>
          <w:szCs w:val="20"/>
        </w:rPr>
      </w:pPr>
      <w:r>
        <w:rPr>
          <w:rFonts w:cs="Arial"/>
          <w:b/>
          <w:szCs w:val="20"/>
        </w:rPr>
        <w:lastRenderedPageBreak/>
        <w:t>Aparte de la escasez de mano de obra, ¿qué otros argumentos hay a favor de los almacenes frigoríficos automatizado</w:t>
      </w:r>
      <w:r w:rsidR="00EF192A">
        <w:rPr>
          <w:rFonts w:cs="Arial"/>
          <w:b/>
          <w:szCs w:val="20"/>
        </w:rPr>
        <w:t>s</w:t>
      </w:r>
      <w:r>
        <w:rPr>
          <w:rFonts w:cs="Arial"/>
          <w:b/>
          <w:szCs w:val="20"/>
        </w:rPr>
        <w:t>?</w:t>
      </w:r>
      <w:r>
        <w:rPr>
          <w:rFonts w:cs="Arial"/>
          <w:bCs/>
          <w:szCs w:val="20"/>
        </w:rPr>
        <w:t xml:space="preserve"> La experiencia ha demostrado que, en ocasiones, la productividad puede llegar a duplicarse. Otros dos puntos a favor son una mayor calidad de procesos y los mencionados ahorros energéticos que pueden conseguirse con una instalación automatizada, cuya construcción es mucho más compacta que una solución manual. De este modo, es posible alcanzar ahorros de hasta dos tercios en energía de refrigeración. </w:t>
      </w:r>
    </w:p>
    <w:p w14:paraId="6D611E78" w14:textId="77777777" w:rsidR="00070C35" w:rsidRPr="003E164B" w:rsidRDefault="00070C35" w:rsidP="006231AE">
      <w:pPr>
        <w:spacing w:line="360" w:lineRule="auto"/>
        <w:ind w:left="0" w:right="1693"/>
        <w:rPr>
          <w:rFonts w:cs="Arial"/>
          <w:bCs/>
          <w:szCs w:val="20"/>
        </w:rPr>
      </w:pPr>
    </w:p>
    <w:p w14:paraId="1DC0EAFA" w14:textId="39EEEFFD" w:rsidR="00A24347" w:rsidRPr="003E164B" w:rsidRDefault="00677CA5" w:rsidP="006231AE">
      <w:pPr>
        <w:spacing w:line="360" w:lineRule="auto"/>
        <w:ind w:left="0" w:right="1693"/>
        <w:rPr>
          <w:rFonts w:cs="Arial"/>
          <w:bCs/>
          <w:szCs w:val="20"/>
        </w:rPr>
      </w:pPr>
      <w:r>
        <w:rPr>
          <w:rFonts w:cs="Arial"/>
          <w:b/>
          <w:szCs w:val="20"/>
        </w:rPr>
        <w:t>¿Cuál es la mejor estrategia de automatización?</w:t>
      </w:r>
      <w:r>
        <w:rPr>
          <w:rFonts w:cs="Arial"/>
          <w:bCs/>
          <w:szCs w:val="20"/>
        </w:rPr>
        <w:t xml:space="preserve"> </w:t>
      </w:r>
    </w:p>
    <w:p w14:paraId="0A85C933" w14:textId="2C3A3B1B" w:rsidR="00677CA5" w:rsidRDefault="00ED5E52" w:rsidP="006231AE">
      <w:pPr>
        <w:spacing w:line="360" w:lineRule="auto"/>
        <w:ind w:left="0" w:right="1693"/>
        <w:rPr>
          <w:rFonts w:cs="Arial"/>
          <w:bCs/>
          <w:szCs w:val="20"/>
        </w:rPr>
      </w:pPr>
      <w:r>
        <w:rPr>
          <w:rFonts w:cs="Arial"/>
          <w:bCs/>
          <w:szCs w:val="20"/>
        </w:rPr>
        <w:t xml:space="preserve">En la actualidad se planifican casi exclusivamente instalaciones con sistemas </w:t>
      </w:r>
      <w:r w:rsidR="00BE59A5">
        <w:rPr>
          <w:rFonts w:cs="Arial"/>
          <w:bCs/>
          <w:szCs w:val="20"/>
        </w:rPr>
        <w:t xml:space="preserve">de </w:t>
      </w:r>
      <w:r>
        <w:rPr>
          <w:rFonts w:cs="Arial"/>
          <w:bCs/>
          <w:szCs w:val="20"/>
        </w:rPr>
        <w:t xml:space="preserve">shuttle. En comparación con los transelevadores, estos ofrecen el mismo rendimiento de entrada y salida de almacén con una cantidad considerablemente menor de pasillos, lo que supone un ahorro en volumen. Por lo general, los transelevadores tienen sentido en instalaciones pequeñas de bajo rendimiento. </w:t>
      </w:r>
    </w:p>
    <w:p w14:paraId="7178A973" w14:textId="77777777" w:rsidR="00BE59A5" w:rsidRPr="003E164B" w:rsidRDefault="00BE59A5" w:rsidP="006231AE">
      <w:pPr>
        <w:spacing w:line="360" w:lineRule="auto"/>
        <w:ind w:left="0" w:right="1693"/>
        <w:rPr>
          <w:rFonts w:cs="Arial"/>
          <w:bCs/>
          <w:szCs w:val="20"/>
        </w:rPr>
      </w:pPr>
    </w:p>
    <w:p w14:paraId="68B346F4" w14:textId="77777777" w:rsidR="00ED5E52" w:rsidRDefault="00677CA5" w:rsidP="006231AE">
      <w:pPr>
        <w:spacing w:line="360" w:lineRule="auto"/>
        <w:ind w:left="0" w:right="1693"/>
        <w:rPr>
          <w:rFonts w:cs="Arial"/>
          <w:bCs/>
          <w:szCs w:val="20"/>
        </w:rPr>
      </w:pPr>
      <w:r>
        <w:rPr>
          <w:rFonts w:cs="Arial"/>
          <w:b/>
          <w:szCs w:val="20"/>
        </w:rPr>
        <w:t>¿Cómo se garantiza que los shuttle funcionen a -25 grados Celsius?</w:t>
      </w:r>
      <w:r>
        <w:rPr>
          <w:rFonts w:cs="Arial"/>
          <w:bCs/>
          <w:szCs w:val="20"/>
        </w:rPr>
        <w:t xml:space="preserve"> </w:t>
      </w:r>
    </w:p>
    <w:p w14:paraId="772A12F0" w14:textId="597F13EB" w:rsidR="00677CA5" w:rsidRPr="003E164B" w:rsidRDefault="00A8419E" w:rsidP="006231AE">
      <w:pPr>
        <w:spacing w:line="360" w:lineRule="auto"/>
        <w:ind w:left="0" w:right="1693"/>
        <w:rPr>
          <w:rFonts w:cs="Arial"/>
          <w:bCs/>
          <w:szCs w:val="20"/>
        </w:rPr>
      </w:pPr>
      <w:r>
        <w:rPr>
          <w:rFonts w:cs="Arial"/>
          <w:bCs/>
          <w:szCs w:val="20"/>
        </w:rPr>
        <w:t xml:space="preserve">TGW </w:t>
      </w:r>
      <w:proofErr w:type="spellStart"/>
      <w:r>
        <w:rPr>
          <w:rFonts w:cs="Arial"/>
          <w:bCs/>
          <w:szCs w:val="20"/>
        </w:rPr>
        <w:t>utiliza</w:t>
      </w:r>
      <w:proofErr w:type="spellEnd"/>
      <w:r>
        <w:rPr>
          <w:rFonts w:cs="Arial"/>
          <w:bCs/>
          <w:szCs w:val="20"/>
        </w:rPr>
        <w:t xml:space="preserve"> la </w:t>
      </w:r>
      <w:proofErr w:type="spellStart"/>
      <w:r>
        <w:rPr>
          <w:rFonts w:cs="Arial"/>
          <w:bCs/>
          <w:szCs w:val="20"/>
        </w:rPr>
        <w:t>última</w:t>
      </w:r>
      <w:proofErr w:type="spellEnd"/>
      <w:r>
        <w:rPr>
          <w:rFonts w:cs="Arial"/>
          <w:bCs/>
          <w:szCs w:val="20"/>
        </w:rPr>
        <w:t xml:space="preserve"> </w:t>
      </w:r>
      <w:proofErr w:type="spellStart"/>
      <w:r>
        <w:rPr>
          <w:rFonts w:cs="Arial"/>
          <w:bCs/>
          <w:szCs w:val="20"/>
        </w:rPr>
        <w:t>tecnología</w:t>
      </w:r>
      <w:proofErr w:type="spellEnd"/>
      <w:r>
        <w:rPr>
          <w:rFonts w:cs="Arial"/>
          <w:bCs/>
          <w:szCs w:val="20"/>
        </w:rPr>
        <w:t xml:space="preserve"> en </w:t>
      </w:r>
      <w:proofErr w:type="spellStart"/>
      <w:r>
        <w:rPr>
          <w:rFonts w:cs="Arial"/>
          <w:bCs/>
          <w:szCs w:val="20"/>
        </w:rPr>
        <w:t>robótica</w:t>
      </w:r>
      <w:proofErr w:type="spellEnd"/>
      <w:r>
        <w:rPr>
          <w:rFonts w:cs="Arial"/>
          <w:bCs/>
          <w:szCs w:val="20"/>
        </w:rPr>
        <w:t xml:space="preserve"> y accionamiento. Por lo general, nuestras soluciones pueden utilizarse en un rango de temperaturas de entre -30 y +40 grados Celsius. Para que un shuttle utilizado en el ámbito de los ultracongelados funcione bien, solamente cambiamos tres componentes y modificamos el lubricante. </w:t>
      </w:r>
    </w:p>
    <w:p w14:paraId="61E92492" w14:textId="482CEA4D" w:rsidR="00221A42" w:rsidRPr="003E164B" w:rsidRDefault="00221A42" w:rsidP="006231AE">
      <w:pPr>
        <w:spacing w:line="360" w:lineRule="auto"/>
        <w:ind w:left="0" w:right="1693"/>
        <w:rPr>
          <w:rFonts w:cs="Arial"/>
          <w:bCs/>
          <w:szCs w:val="20"/>
        </w:rPr>
      </w:pPr>
    </w:p>
    <w:p w14:paraId="3909F76B" w14:textId="77777777" w:rsidR="00975E13" w:rsidRDefault="00221A42" w:rsidP="006231AE">
      <w:pPr>
        <w:spacing w:line="360" w:lineRule="auto"/>
        <w:ind w:left="0" w:right="1693"/>
        <w:rPr>
          <w:rFonts w:cs="Arial"/>
          <w:bCs/>
          <w:szCs w:val="20"/>
        </w:rPr>
      </w:pPr>
      <w:r>
        <w:rPr>
          <w:rFonts w:cs="Arial"/>
          <w:b/>
          <w:szCs w:val="20"/>
        </w:rPr>
        <w:t>¿Cómo es el proceso ideal para un almacén frigorífico?</w:t>
      </w:r>
      <w:r>
        <w:rPr>
          <w:rFonts w:cs="Arial"/>
          <w:bCs/>
          <w:szCs w:val="20"/>
        </w:rPr>
        <w:t xml:space="preserve"> </w:t>
      </w:r>
    </w:p>
    <w:p w14:paraId="15E51B04" w14:textId="01F2DDF1" w:rsidR="00C0453B" w:rsidRPr="003E164B" w:rsidRDefault="00055611" w:rsidP="006231AE">
      <w:pPr>
        <w:spacing w:line="360" w:lineRule="auto"/>
        <w:ind w:left="0" w:right="1693"/>
        <w:rPr>
          <w:rFonts w:cs="Arial"/>
          <w:bCs/>
          <w:szCs w:val="20"/>
        </w:rPr>
      </w:pPr>
      <w:r>
        <w:rPr>
          <w:rFonts w:cs="Arial"/>
          <w:bCs/>
          <w:szCs w:val="20"/>
        </w:rPr>
        <w:t xml:space="preserve">Nuestra solución estándar adaptada a las especificaciones del cliente se compone de varios módulos. El proceso comienza en la recepción de mercancías. La mercancía paletizada se verifica, se etiqueta y se traslada al almacén de estantes elevados a -25 grados Celsius. Para la preparación de pedidos, la mercancía se solicita y, si es necesario, se despaletiza; los palets con las cantidades restantes se vuelven a almacenar. Las unidades despaletizadas se trasladan a una bandeja y se almacenan en el sistema </w:t>
      </w:r>
      <w:r w:rsidR="00965BB5">
        <w:rPr>
          <w:rFonts w:cs="Arial"/>
          <w:bCs/>
          <w:szCs w:val="20"/>
        </w:rPr>
        <w:t xml:space="preserve">de </w:t>
      </w:r>
      <w:r>
        <w:rPr>
          <w:rFonts w:cs="Arial"/>
          <w:bCs/>
          <w:szCs w:val="20"/>
        </w:rPr>
        <w:t xml:space="preserve">shuttle. Para la preparación de pedidos con el principio de mercancía a robot, los artículos requeridos se sacan del almacén, las bandejas se secuencian y, según sea necesario, se descargan. La paletización se lleva a cabo automáticamente con </w:t>
      </w:r>
      <w:r w:rsidR="00EF192A">
        <w:rPr>
          <w:rFonts w:cs="Arial"/>
          <w:bCs/>
          <w:szCs w:val="20"/>
        </w:rPr>
        <w:t xml:space="preserve">la </w:t>
      </w:r>
      <w:r>
        <w:rPr>
          <w:rFonts w:cs="Arial"/>
          <w:bCs/>
          <w:szCs w:val="20"/>
        </w:rPr>
        <w:t xml:space="preserve">ayuda de robots Autostax. La disposición de los artículos en el portacargas del cliente, que suelen ser palets o carros con ruedas, se realiza en función de diversos criterios. La norma general es la siguiente priorización: estabilidad de los palets, optimización del volumen y disposición en familias de mercancías para facilitar un almacenamiento rápido en tienda. A continuación, los </w:t>
      </w:r>
      <w:proofErr w:type="spellStart"/>
      <w:r w:rsidR="00965BB5">
        <w:rPr>
          <w:rFonts w:cs="Arial"/>
          <w:bCs/>
          <w:szCs w:val="20"/>
        </w:rPr>
        <w:t>portadores</w:t>
      </w:r>
      <w:proofErr w:type="spellEnd"/>
      <w:r w:rsidR="00965BB5">
        <w:rPr>
          <w:rFonts w:cs="Arial"/>
          <w:bCs/>
          <w:szCs w:val="20"/>
        </w:rPr>
        <w:t xml:space="preserve"> de </w:t>
      </w:r>
      <w:proofErr w:type="spellStart"/>
      <w:r w:rsidR="00965BB5">
        <w:rPr>
          <w:rFonts w:cs="Arial"/>
          <w:bCs/>
          <w:szCs w:val="20"/>
        </w:rPr>
        <w:t>carga</w:t>
      </w:r>
      <w:proofErr w:type="spellEnd"/>
      <w:r w:rsidR="00965BB5">
        <w:rPr>
          <w:rFonts w:cs="Arial"/>
          <w:bCs/>
          <w:szCs w:val="20"/>
        </w:rPr>
        <w:t xml:space="preserve"> </w:t>
      </w:r>
      <w:r>
        <w:rPr>
          <w:rFonts w:cs="Arial"/>
          <w:bCs/>
          <w:szCs w:val="20"/>
        </w:rPr>
        <w:t xml:space="preserve">del </w:t>
      </w:r>
      <w:proofErr w:type="spellStart"/>
      <w:r>
        <w:rPr>
          <w:rFonts w:cs="Arial"/>
          <w:bCs/>
          <w:szCs w:val="20"/>
        </w:rPr>
        <w:t>cliente</w:t>
      </w:r>
      <w:proofErr w:type="spellEnd"/>
      <w:r>
        <w:rPr>
          <w:rFonts w:cs="Arial"/>
          <w:bCs/>
          <w:szCs w:val="20"/>
        </w:rPr>
        <w:t xml:space="preserve"> se </w:t>
      </w:r>
      <w:proofErr w:type="spellStart"/>
      <w:r>
        <w:rPr>
          <w:rFonts w:cs="Arial"/>
          <w:bCs/>
          <w:szCs w:val="20"/>
        </w:rPr>
        <w:t>aseguran</w:t>
      </w:r>
      <w:proofErr w:type="spellEnd"/>
      <w:r>
        <w:rPr>
          <w:rFonts w:cs="Arial"/>
          <w:bCs/>
          <w:szCs w:val="20"/>
        </w:rPr>
        <w:t xml:space="preserve"> automáticamente y se colocan </w:t>
      </w:r>
      <w:r w:rsidR="00691E2D">
        <w:rPr>
          <w:rFonts w:cs="Arial"/>
          <w:bCs/>
          <w:szCs w:val="20"/>
        </w:rPr>
        <w:t xml:space="preserve">en </w:t>
      </w:r>
      <w:r>
        <w:rPr>
          <w:rFonts w:cs="Arial"/>
          <w:bCs/>
          <w:szCs w:val="20"/>
        </w:rPr>
        <w:t xml:space="preserve">la cola de salida de mercancías en el orden de carga correcto para el </w:t>
      </w:r>
      <w:proofErr w:type="spellStart"/>
      <w:r>
        <w:rPr>
          <w:rFonts w:cs="Arial"/>
          <w:bCs/>
          <w:szCs w:val="20"/>
        </w:rPr>
        <w:t>transporte</w:t>
      </w:r>
      <w:proofErr w:type="spellEnd"/>
      <w:r>
        <w:rPr>
          <w:rFonts w:cs="Arial"/>
          <w:bCs/>
          <w:szCs w:val="20"/>
        </w:rPr>
        <w:t xml:space="preserve"> en </w:t>
      </w:r>
      <w:proofErr w:type="spellStart"/>
      <w:r>
        <w:rPr>
          <w:rFonts w:cs="Arial"/>
          <w:bCs/>
          <w:szCs w:val="20"/>
        </w:rPr>
        <w:t>camión</w:t>
      </w:r>
      <w:proofErr w:type="spellEnd"/>
      <w:r>
        <w:rPr>
          <w:rFonts w:cs="Arial"/>
          <w:bCs/>
          <w:szCs w:val="20"/>
        </w:rPr>
        <w:t>.</w:t>
      </w:r>
    </w:p>
    <w:p w14:paraId="2888A3C1" w14:textId="67CBD3F6" w:rsidR="00AD0287" w:rsidRPr="003E164B" w:rsidRDefault="006E30D5" w:rsidP="006231AE">
      <w:pPr>
        <w:spacing w:line="360" w:lineRule="auto"/>
        <w:ind w:left="0" w:right="1693"/>
        <w:rPr>
          <w:rFonts w:cs="Arial"/>
          <w:bCs/>
          <w:szCs w:val="20"/>
        </w:rPr>
      </w:pPr>
      <w:r>
        <w:rPr>
          <w:rFonts w:cs="Arial"/>
          <w:b/>
          <w:szCs w:val="20"/>
        </w:rPr>
        <w:t>El tema de la eficiencia energética. ¿Cómo se consiguen ahorros significativos?</w:t>
      </w:r>
      <w:r>
        <w:rPr>
          <w:rFonts w:cs="Arial"/>
          <w:bCs/>
          <w:szCs w:val="20"/>
        </w:rPr>
        <w:t xml:space="preserve"> </w:t>
      </w:r>
    </w:p>
    <w:p w14:paraId="0A33DDA7" w14:textId="4181BB0D" w:rsidR="006142BE" w:rsidRPr="003E164B" w:rsidRDefault="00FB615F" w:rsidP="006231AE">
      <w:pPr>
        <w:spacing w:line="360" w:lineRule="auto"/>
        <w:ind w:left="0" w:right="1693"/>
        <w:rPr>
          <w:rFonts w:cs="Arial"/>
          <w:bCs/>
          <w:szCs w:val="20"/>
        </w:rPr>
      </w:pPr>
      <w:r>
        <w:rPr>
          <w:rFonts w:cs="Arial"/>
          <w:bCs/>
          <w:szCs w:val="20"/>
        </w:rPr>
        <w:lastRenderedPageBreak/>
        <w:t xml:space="preserve">Para minimizar el consumo energético se aplica el siguiente principio: además del volumen a refrigerar, la superficie del edificio debe ser lo más pequeña posible. Lo ideal es instalar la solución en un edificio con la altura máxima permitida en la zona de construcción (hasta 40 metros) para mantener la superficie del edificio reducida y evitar pérdidas de energía a través de las superficies techadas. </w:t>
      </w:r>
    </w:p>
    <w:p w14:paraId="33289560" w14:textId="77777777" w:rsidR="00453D91" w:rsidRPr="003E164B" w:rsidRDefault="00453D91" w:rsidP="006231AE">
      <w:pPr>
        <w:spacing w:line="360" w:lineRule="auto"/>
        <w:ind w:left="0" w:right="1693"/>
        <w:rPr>
          <w:rFonts w:cs="Arial"/>
          <w:bCs/>
          <w:szCs w:val="20"/>
        </w:rPr>
      </w:pPr>
    </w:p>
    <w:p w14:paraId="3E98BBA0" w14:textId="6F0F084D" w:rsidR="00453D91" w:rsidRPr="003E164B" w:rsidRDefault="00453D91" w:rsidP="006231AE">
      <w:pPr>
        <w:spacing w:line="360" w:lineRule="auto"/>
        <w:ind w:left="0" w:right="1693"/>
        <w:rPr>
          <w:rFonts w:cs="Arial"/>
          <w:b/>
          <w:szCs w:val="20"/>
        </w:rPr>
      </w:pPr>
      <w:r>
        <w:rPr>
          <w:rFonts w:cs="Arial"/>
          <w:b/>
          <w:szCs w:val="20"/>
        </w:rPr>
        <w:t xml:space="preserve">Una buena planificación de edificios sirve de poco si la ejecución es mala... </w:t>
      </w:r>
    </w:p>
    <w:p w14:paraId="3F6AD787" w14:textId="06E68E71" w:rsidR="003E164B" w:rsidRDefault="00453D91" w:rsidP="006231AE">
      <w:pPr>
        <w:spacing w:line="360" w:lineRule="auto"/>
        <w:ind w:left="0" w:right="1693"/>
        <w:rPr>
          <w:rFonts w:cs="Arial"/>
          <w:bCs/>
          <w:szCs w:val="20"/>
        </w:rPr>
      </w:pPr>
      <w:r>
        <w:rPr>
          <w:rFonts w:cs="Arial"/>
          <w:bCs/>
          <w:szCs w:val="20"/>
        </w:rPr>
        <w:t xml:space="preserve">Correcto. Un requisito importante para conseguir ahorros energéticos elevados son </w:t>
      </w:r>
      <w:proofErr w:type="spellStart"/>
      <w:r>
        <w:rPr>
          <w:rFonts w:cs="Arial"/>
          <w:bCs/>
          <w:szCs w:val="20"/>
        </w:rPr>
        <w:t>un</w:t>
      </w:r>
      <w:proofErr w:type="spellEnd"/>
      <w:r>
        <w:rPr>
          <w:rFonts w:cs="Arial"/>
          <w:bCs/>
          <w:szCs w:val="20"/>
        </w:rPr>
        <w:t xml:space="preserve"> </w:t>
      </w:r>
      <w:proofErr w:type="spellStart"/>
      <w:r>
        <w:rPr>
          <w:rFonts w:cs="Arial"/>
          <w:bCs/>
          <w:szCs w:val="20"/>
        </w:rPr>
        <w:t>sistema</w:t>
      </w:r>
      <w:proofErr w:type="spellEnd"/>
      <w:r>
        <w:rPr>
          <w:rFonts w:cs="Arial"/>
          <w:bCs/>
          <w:szCs w:val="20"/>
        </w:rPr>
        <w:t xml:space="preserve"> </w:t>
      </w:r>
      <w:proofErr w:type="spellStart"/>
      <w:r>
        <w:rPr>
          <w:rFonts w:cs="Arial"/>
          <w:bCs/>
          <w:szCs w:val="20"/>
        </w:rPr>
        <w:t>hermético</w:t>
      </w:r>
      <w:proofErr w:type="spellEnd"/>
      <w:r>
        <w:rPr>
          <w:rFonts w:cs="Arial"/>
          <w:bCs/>
          <w:szCs w:val="20"/>
        </w:rPr>
        <w:t xml:space="preserve">, </w:t>
      </w:r>
      <w:proofErr w:type="spellStart"/>
      <w:r w:rsidR="009150D9">
        <w:rPr>
          <w:rFonts w:cs="Arial"/>
          <w:bCs/>
          <w:szCs w:val="20"/>
        </w:rPr>
        <w:t>un</w:t>
      </w:r>
      <w:proofErr w:type="spellEnd"/>
      <w:r w:rsidR="009150D9">
        <w:rPr>
          <w:rFonts w:cs="Arial"/>
          <w:bCs/>
          <w:szCs w:val="20"/>
        </w:rPr>
        <w:t xml:space="preserve"> </w:t>
      </w:r>
      <w:proofErr w:type="spellStart"/>
      <w:r>
        <w:rPr>
          <w:rFonts w:cs="Arial"/>
          <w:bCs/>
          <w:szCs w:val="20"/>
        </w:rPr>
        <w:t>excelente</w:t>
      </w:r>
      <w:proofErr w:type="spellEnd"/>
      <w:r>
        <w:rPr>
          <w:rFonts w:cs="Arial"/>
          <w:bCs/>
          <w:szCs w:val="20"/>
        </w:rPr>
        <w:t xml:space="preserve"> </w:t>
      </w:r>
      <w:proofErr w:type="spellStart"/>
      <w:r>
        <w:rPr>
          <w:rFonts w:cs="Arial"/>
          <w:bCs/>
          <w:szCs w:val="20"/>
        </w:rPr>
        <w:t>aislamiento</w:t>
      </w:r>
      <w:proofErr w:type="spellEnd"/>
      <w:r>
        <w:rPr>
          <w:rFonts w:cs="Arial"/>
          <w:bCs/>
          <w:szCs w:val="20"/>
        </w:rPr>
        <w:t xml:space="preserve"> y buenas compuertas y puertas. Además, es necesario deshumidificar el aire con ayuda de secadores. La</w:t>
      </w:r>
      <w:r w:rsidR="00E73DEC">
        <w:rPr>
          <w:rFonts w:cs="Arial"/>
          <w:bCs/>
          <w:szCs w:val="20"/>
        </w:rPr>
        <w:t>s</w:t>
      </w:r>
      <w:r>
        <w:rPr>
          <w:rFonts w:cs="Arial"/>
          <w:bCs/>
          <w:szCs w:val="20"/>
        </w:rPr>
        <w:t xml:space="preserve"> ventaja</w:t>
      </w:r>
      <w:r w:rsidR="00E73DEC">
        <w:rPr>
          <w:rFonts w:cs="Arial"/>
          <w:bCs/>
          <w:szCs w:val="20"/>
        </w:rPr>
        <w:t>s</w:t>
      </w:r>
      <w:r>
        <w:rPr>
          <w:rFonts w:cs="Arial"/>
          <w:bCs/>
          <w:szCs w:val="20"/>
        </w:rPr>
        <w:t xml:space="preserve"> de los almacenes </w:t>
      </w:r>
      <w:proofErr w:type="spellStart"/>
      <w:r>
        <w:rPr>
          <w:rFonts w:cs="Arial"/>
          <w:bCs/>
          <w:szCs w:val="20"/>
        </w:rPr>
        <w:t>automatizados</w:t>
      </w:r>
      <w:proofErr w:type="spellEnd"/>
      <w:r>
        <w:rPr>
          <w:rFonts w:cs="Arial"/>
          <w:bCs/>
          <w:szCs w:val="20"/>
        </w:rPr>
        <w:t xml:space="preserve"> </w:t>
      </w:r>
      <w:proofErr w:type="spellStart"/>
      <w:r w:rsidR="00E73DEC">
        <w:rPr>
          <w:rFonts w:cs="Arial"/>
          <w:bCs/>
          <w:szCs w:val="20"/>
        </w:rPr>
        <w:t>son</w:t>
      </w:r>
      <w:proofErr w:type="spellEnd"/>
      <w:r w:rsidR="00E73DEC">
        <w:rPr>
          <w:rFonts w:cs="Arial"/>
          <w:bCs/>
          <w:szCs w:val="20"/>
        </w:rPr>
        <w:t xml:space="preserve"> </w:t>
      </w:r>
      <w:proofErr w:type="spellStart"/>
      <w:r w:rsidR="00E73DEC">
        <w:rPr>
          <w:rFonts w:cs="Arial"/>
          <w:bCs/>
          <w:szCs w:val="20"/>
        </w:rPr>
        <w:t>qu</w:t>
      </w:r>
      <w:r w:rsidR="00D81889">
        <w:rPr>
          <w:rFonts w:cs="Arial"/>
          <w:bCs/>
          <w:szCs w:val="20"/>
        </w:rPr>
        <w:t>e</w:t>
      </w:r>
      <w:proofErr w:type="spellEnd"/>
      <w:r w:rsidR="00D81889">
        <w:rPr>
          <w:rFonts w:cs="Arial"/>
          <w:bCs/>
          <w:szCs w:val="20"/>
        </w:rPr>
        <w:t xml:space="preserve"> se</w:t>
      </w:r>
      <w:r>
        <w:rPr>
          <w:rFonts w:cs="Arial"/>
          <w:bCs/>
          <w:szCs w:val="20"/>
        </w:rPr>
        <w:t xml:space="preserve"> </w:t>
      </w:r>
      <w:proofErr w:type="spellStart"/>
      <w:r>
        <w:rPr>
          <w:rFonts w:cs="Arial"/>
          <w:bCs/>
          <w:szCs w:val="20"/>
        </w:rPr>
        <w:t>suprimen</w:t>
      </w:r>
      <w:proofErr w:type="spellEnd"/>
      <w:r>
        <w:rPr>
          <w:rFonts w:cs="Arial"/>
          <w:bCs/>
          <w:szCs w:val="20"/>
        </w:rPr>
        <w:t xml:space="preserve"> las </w:t>
      </w:r>
      <w:proofErr w:type="spellStart"/>
      <w:r>
        <w:rPr>
          <w:rFonts w:cs="Arial"/>
          <w:bCs/>
          <w:szCs w:val="20"/>
        </w:rPr>
        <w:t>aperturas</w:t>
      </w:r>
      <w:proofErr w:type="spellEnd"/>
      <w:r>
        <w:rPr>
          <w:rFonts w:cs="Arial"/>
          <w:bCs/>
          <w:szCs w:val="20"/>
        </w:rPr>
        <w:t xml:space="preserve"> de las compuertas para el tráfico de carretillas elevadoras, pudiéndose reducir así al mínimo las fuentes de calor que suponen las personas y la iluminación. TGW apuesta además por soluciones que ahorran energía eléctrica: los elevadores Shuttle y los sistemas de manutención KingDrive</w:t>
      </w:r>
      <w:r>
        <w:rPr>
          <w:rFonts w:cs="Arial"/>
          <w:bCs/>
          <w:szCs w:val="20"/>
          <w:vertAlign w:val="superscript"/>
        </w:rPr>
        <w:t xml:space="preserve">® </w:t>
      </w:r>
      <w:r>
        <w:rPr>
          <w:rFonts w:cs="Arial"/>
          <w:bCs/>
          <w:szCs w:val="20"/>
        </w:rPr>
        <w:t>cuentan con tecnologías de recuperación de energía; los propios shuttle se accionan mediante innovadores SuperCaps.</w:t>
      </w:r>
    </w:p>
    <w:p w14:paraId="54D982A8" w14:textId="77777777" w:rsidR="00B4104D" w:rsidRPr="00975E13" w:rsidRDefault="00B4104D" w:rsidP="006231AE">
      <w:pPr>
        <w:spacing w:line="360" w:lineRule="auto"/>
        <w:ind w:left="0" w:right="1693"/>
        <w:rPr>
          <w:rFonts w:cs="Arial"/>
          <w:bCs/>
          <w:szCs w:val="20"/>
        </w:rPr>
      </w:pPr>
    </w:p>
    <w:p w14:paraId="26EBC669" w14:textId="64B28DE5" w:rsidR="00D554C1" w:rsidRPr="003E164B" w:rsidRDefault="00D554C1" w:rsidP="00D554C1">
      <w:pPr>
        <w:spacing w:line="360" w:lineRule="auto"/>
        <w:ind w:left="0" w:right="1693"/>
        <w:rPr>
          <w:rFonts w:cs="Arial"/>
          <w:b/>
          <w:sz w:val="16"/>
          <w:szCs w:val="16"/>
        </w:rPr>
      </w:pPr>
      <w:r>
        <w:rPr>
          <w:rFonts w:cs="Arial"/>
          <w:b/>
          <w:sz w:val="16"/>
          <w:szCs w:val="16"/>
        </w:rPr>
        <w:t>Acerca de Michael Schedlbauer</w:t>
      </w:r>
    </w:p>
    <w:p w14:paraId="33240450" w14:textId="5D74DF5A" w:rsidR="00D554C1" w:rsidRPr="003E164B" w:rsidRDefault="00753497" w:rsidP="00D554C1">
      <w:pPr>
        <w:spacing w:line="360" w:lineRule="auto"/>
        <w:ind w:left="0" w:right="1693"/>
        <w:rPr>
          <w:rFonts w:cs="Arial"/>
          <w:sz w:val="16"/>
          <w:szCs w:val="16"/>
        </w:rPr>
      </w:pPr>
      <w:r>
        <w:rPr>
          <w:rFonts w:cs="Arial"/>
          <w:sz w:val="16"/>
          <w:szCs w:val="16"/>
        </w:rPr>
        <w:t>El experto en logística minorista Michael Schedlbauer trabaja como Industry Manager en la sede de TGW Logistics Group de Marchtrenk, Austria. Tras trabajar ocho años en Siemens AG desempeñando varios puestos operativos y estratégicos, Schedlbauer se incorporó a TGW en 2016. Este especialista en intralogística estudió ingeniería mecánica en la universidad politécnica de Múnich, y se doctoró en la cátedra de Logística de Flujo de Materiales de dicha universidad.</w:t>
      </w:r>
    </w:p>
    <w:p w14:paraId="2ED14738" w14:textId="77777777" w:rsidR="0027242D" w:rsidRPr="003E164B" w:rsidRDefault="0027242D" w:rsidP="006231AE">
      <w:pPr>
        <w:spacing w:line="360" w:lineRule="auto"/>
        <w:ind w:left="0" w:right="1693"/>
        <w:rPr>
          <w:rFonts w:cs="Arial"/>
          <w:sz w:val="16"/>
          <w:szCs w:val="16"/>
        </w:rPr>
      </w:pPr>
    </w:p>
    <w:p w14:paraId="3E129C11" w14:textId="4EA7842A" w:rsidR="003E164B" w:rsidRDefault="003E164B" w:rsidP="006231AE">
      <w:pPr>
        <w:spacing w:line="360" w:lineRule="auto"/>
        <w:ind w:left="0" w:right="1693"/>
        <w:rPr>
          <w:rFonts w:cs="Arial"/>
          <w:szCs w:val="20"/>
        </w:rPr>
      </w:pPr>
    </w:p>
    <w:p w14:paraId="61F0BB78" w14:textId="1AC3DECC" w:rsidR="003E164B" w:rsidRDefault="003E164B" w:rsidP="006231AE">
      <w:pPr>
        <w:spacing w:line="360" w:lineRule="auto"/>
        <w:ind w:left="0" w:right="1693"/>
        <w:rPr>
          <w:rFonts w:cs="Arial"/>
          <w:szCs w:val="20"/>
        </w:rPr>
      </w:pPr>
    </w:p>
    <w:p w14:paraId="6746E7FD" w14:textId="14E36332" w:rsidR="00C0453B" w:rsidRDefault="00C0453B" w:rsidP="006231AE">
      <w:pPr>
        <w:spacing w:line="360" w:lineRule="auto"/>
        <w:ind w:left="0" w:right="1693"/>
        <w:rPr>
          <w:rFonts w:cs="Arial"/>
          <w:szCs w:val="20"/>
        </w:rPr>
      </w:pPr>
    </w:p>
    <w:p w14:paraId="726139F2" w14:textId="08A65BE1" w:rsidR="00C0453B" w:rsidRDefault="00C0453B" w:rsidP="006231AE">
      <w:pPr>
        <w:spacing w:line="360" w:lineRule="auto"/>
        <w:ind w:left="0" w:right="1693"/>
        <w:rPr>
          <w:rFonts w:cs="Arial"/>
          <w:szCs w:val="20"/>
        </w:rPr>
      </w:pPr>
      <w:bookmarkStart w:id="0" w:name="_GoBack"/>
      <w:bookmarkEnd w:id="0"/>
    </w:p>
    <w:p w14:paraId="566DCD7B" w14:textId="0CDDE81D" w:rsidR="00C0453B" w:rsidRDefault="00C0453B" w:rsidP="006231AE">
      <w:pPr>
        <w:spacing w:line="360" w:lineRule="auto"/>
        <w:ind w:left="0" w:right="1693"/>
        <w:rPr>
          <w:rFonts w:cs="Arial"/>
          <w:szCs w:val="20"/>
        </w:rPr>
      </w:pPr>
    </w:p>
    <w:p w14:paraId="381E555C" w14:textId="7785A2C4" w:rsidR="00D81889" w:rsidRDefault="00D81889" w:rsidP="006231AE">
      <w:pPr>
        <w:spacing w:line="360" w:lineRule="auto"/>
        <w:ind w:left="0" w:right="1693"/>
        <w:rPr>
          <w:rFonts w:cs="Arial"/>
          <w:szCs w:val="20"/>
        </w:rPr>
      </w:pPr>
    </w:p>
    <w:p w14:paraId="5CC225C6" w14:textId="37D9F6DB" w:rsidR="00D81889" w:rsidRDefault="00D81889" w:rsidP="006231AE">
      <w:pPr>
        <w:spacing w:line="360" w:lineRule="auto"/>
        <w:ind w:left="0" w:right="1693"/>
        <w:rPr>
          <w:rFonts w:cs="Arial"/>
          <w:szCs w:val="20"/>
        </w:rPr>
      </w:pPr>
    </w:p>
    <w:p w14:paraId="3FDFEECC" w14:textId="6B7AD046" w:rsidR="00D81889" w:rsidRDefault="00D81889" w:rsidP="006231AE">
      <w:pPr>
        <w:spacing w:line="360" w:lineRule="auto"/>
        <w:ind w:left="0" w:right="1693"/>
        <w:rPr>
          <w:rFonts w:cs="Arial"/>
          <w:szCs w:val="20"/>
        </w:rPr>
      </w:pPr>
    </w:p>
    <w:p w14:paraId="6194F295" w14:textId="2D7055C8" w:rsidR="00D81889" w:rsidRDefault="00D81889" w:rsidP="006231AE">
      <w:pPr>
        <w:spacing w:line="360" w:lineRule="auto"/>
        <w:ind w:left="0" w:right="1693"/>
        <w:rPr>
          <w:rFonts w:cs="Arial"/>
          <w:szCs w:val="20"/>
        </w:rPr>
      </w:pPr>
    </w:p>
    <w:p w14:paraId="49979440" w14:textId="61E04E98" w:rsidR="00D81889" w:rsidRDefault="00D81889" w:rsidP="006231AE">
      <w:pPr>
        <w:spacing w:line="360" w:lineRule="auto"/>
        <w:ind w:left="0" w:right="1693"/>
        <w:rPr>
          <w:rFonts w:cs="Arial"/>
          <w:szCs w:val="20"/>
        </w:rPr>
      </w:pPr>
    </w:p>
    <w:p w14:paraId="75340B49" w14:textId="033EF072" w:rsidR="00D81889" w:rsidRDefault="00D81889" w:rsidP="006231AE">
      <w:pPr>
        <w:spacing w:line="360" w:lineRule="auto"/>
        <w:ind w:left="0" w:right="1693"/>
        <w:rPr>
          <w:rFonts w:cs="Arial"/>
          <w:szCs w:val="20"/>
        </w:rPr>
      </w:pPr>
    </w:p>
    <w:p w14:paraId="209AE988" w14:textId="77777777" w:rsidR="00D81889" w:rsidRDefault="00D81889" w:rsidP="006231AE">
      <w:pPr>
        <w:spacing w:line="360" w:lineRule="auto"/>
        <w:ind w:left="0" w:right="1693"/>
        <w:rPr>
          <w:rFonts w:cs="Arial"/>
          <w:szCs w:val="20"/>
        </w:rPr>
      </w:pPr>
    </w:p>
    <w:p w14:paraId="0DEFE915" w14:textId="77777777" w:rsidR="00F14A02" w:rsidRPr="006904AD" w:rsidRDefault="00F14A02" w:rsidP="006231AE">
      <w:pPr>
        <w:spacing w:line="360" w:lineRule="auto"/>
        <w:ind w:left="0" w:right="1693"/>
        <w:rPr>
          <w:rFonts w:cs="Arial"/>
          <w:szCs w:val="20"/>
        </w:rPr>
      </w:pPr>
    </w:p>
    <w:p w14:paraId="56537AE4" w14:textId="072A967C" w:rsidR="00264FCF" w:rsidRDefault="00D81889" w:rsidP="003C0CE6">
      <w:pPr>
        <w:spacing w:line="360" w:lineRule="auto"/>
        <w:ind w:left="0" w:right="1693"/>
        <w:rPr>
          <w:rStyle w:val="Hyperlink"/>
          <w:lang w:val="en-AU"/>
        </w:rPr>
      </w:pPr>
      <w:hyperlink r:id="rId11" w:history="1">
        <w:r w:rsidR="00DA3CC3">
          <w:rPr>
            <w:rStyle w:val="Hyperlink"/>
          </w:rPr>
          <w:t>www.tgw-group.com</w:t>
        </w:r>
      </w:hyperlink>
    </w:p>
    <w:p w14:paraId="07DBC241" w14:textId="2BCAB20E" w:rsidR="00CB1EB0" w:rsidRDefault="00CB1EB0" w:rsidP="003C0CE6">
      <w:pPr>
        <w:spacing w:line="360" w:lineRule="auto"/>
        <w:ind w:left="0" w:right="1693"/>
        <w:rPr>
          <w:lang w:val="en-AU"/>
        </w:rPr>
      </w:pPr>
    </w:p>
    <w:p w14:paraId="1A1D86D3" w14:textId="77777777" w:rsidR="00CB1EB0" w:rsidRPr="005B7FEC" w:rsidRDefault="00CB1EB0" w:rsidP="003C0CE6">
      <w:pPr>
        <w:spacing w:line="360" w:lineRule="auto"/>
        <w:ind w:left="0" w:right="1693"/>
        <w:rPr>
          <w:lang w:val="en-AU"/>
        </w:rPr>
      </w:pPr>
    </w:p>
    <w:p w14:paraId="5B9E61FB" w14:textId="77777777" w:rsidR="00BC7952" w:rsidRPr="00CB1EB0" w:rsidRDefault="00BC7952" w:rsidP="00BC7952">
      <w:pPr>
        <w:spacing w:line="240" w:lineRule="auto"/>
        <w:ind w:left="0" w:right="1693"/>
        <w:rPr>
          <w:rStyle w:val="Hyperlink"/>
          <w:b/>
          <w:color w:val="auto"/>
          <w:sz w:val="18"/>
          <w:szCs w:val="18"/>
          <w:u w:val="none"/>
          <w:lang w:val="en-AU"/>
        </w:rPr>
      </w:pPr>
      <w:r>
        <w:rPr>
          <w:rStyle w:val="Hyperlink"/>
          <w:b/>
          <w:color w:val="auto"/>
          <w:sz w:val="18"/>
          <w:szCs w:val="18"/>
          <w:u w:val="none"/>
        </w:rPr>
        <w:t>Acerca de TGW Logistics Group:</w:t>
      </w:r>
    </w:p>
    <w:p w14:paraId="6621BC43"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CB1EB0" w:rsidRDefault="00BC7952" w:rsidP="00BC7952">
      <w:pPr>
        <w:spacing w:line="240" w:lineRule="auto"/>
        <w:ind w:left="0" w:right="1693"/>
        <w:rPr>
          <w:rStyle w:val="Hyperlink"/>
          <w:color w:val="auto"/>
          <w:sz w:val="18"/>
          <w:szCs w:val="18"/>
          <w:u w:val="none"/>
        </w:rPr>
      </w:pPr>
    </w:p>
    <w:p w14:paraId="38EED38F" w14:textId="1480E2A3"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tiene oficinas en Europa, China y EE. UU. y emplea a más de 3.700 personas en todo el mundo. En el ejercicio 2019/2020, la empresa obtuvo una facturación total de 835,8 millones de euros.</w:t>
      </w:r>
    </w:p>
    <w:p w14:paraId="3D36E606" w14:textId="77777777" w:rsidR="00BC7952" w:rsidRPr="00CB1EB0" w:rsidRDefault="00BC7952" w:rsidP="00BC7952">
      <w:pPr>
        <w:spacing w:line="240" w:lineRule="auto"/>
        <w:ind w:left="0" w:right="1693"/>
        <w:rPr>
          <w:rStyle w:val="Hyperlink"/>
          <w:color w:val="auto"/>
          <w:sz w:val="18"/>
          <w:szCs w:val="18"/>
          <w:u w:val="none"/>
        </w:rPr>
      </w:pPr>
    </w:p>
    <w:p w14:paraId="7E233C2F" w14:textId="77777777" w:rsidR="00BC7952" w:rsidRPr="00CB1EB0" w:rsidRDefault="00BC7952" w:rsidP="00BC7952">
      <w:pPr>
        <w:spacing w:line="240" w:lineRule="auto"/>
        <w:ind w:left="0" w:right="1693"/>
        <w:rPr>
          <w:rStyle w:val="Hyperlink"/>
          <w:color w:val="auto"/>
          <w:sz w:val="18"/>
          <w:szCs w:val="18"/>
          <w:u w:val="none"/>
        </w:rPr>
      </w:pPr>
    </w:p>
    <w:p w14:paraId="28C8C645" w14:textId="77777777" w:rsidR="00BC7952" w:rsidRPr="00CB1EB0" w:rsidRDefault="00BC7952" w:rsidP="00BC7952">
      <w:pPr>
        <w:spacing w:line="240" w:lineRule="auto"/>
        <w:ind w:left="0" w:right="1693"/>
        <w:rPr>
          <w:rStyle w:val="Hyperlink"/>
          <w:color w:val="auto"/>
          <w:sz w:val="18"/>
          <w:szCs w:val="18"/>
          <w:u w:val="none"/>
        </w:rPr>
      </w:pPr>
    </w:p>
    <w:p w14:paraId="396B0DD3" w14:textId="77777777" w:rsidR="00BC7952" w:rsidRPr="00CB1EB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Ilustraciones:</w:t>
      </w:r>
    </w:p>
    <w:p w14:paraId="5AFE1970"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Reproducción sin comisiones previa indicación de la fuente y para notas de prensa relacionadas principalmente con TGW Logistics Group GmbH. Queda prohibida la reproducción con fines promocionales.</w:t>
      </w:r>
    </w:p>
    <w:p w14:paraId="6122C9F5" w14:textId="77777777" w:rsidR="00BC7952" w:rsidRPr="00CB1EB0" w:rsidRDefault="00BC7952" w:rsidP="00BC7952">
      <w:pPr>
        <w:spacing w:line="240" w:lineRule="auto"/>
        <w:ind w:left="0" w:right="1693"/>
        <w:rPr>
          <w:rStyle w:val="Hyperlink"/>
          <w:color w:val="auto"/>
          <w:sz w:val="18"/>
          <w:szCs w:val="18"/>
          <w:u w:val="none"/>
        </w:rPr>
      </w:pPr>
    </w:p>
    <w:p w14:paraId="0EAAA7E7" w14:textId="77777777" w:rsidR="00BC7952" w:rsidRPr="00CB1EB0" w:rsidRDefault="00BC7952" w:rsidP="00BC7952">
      <w:pPr>
        <w:spacing w:line="240" w:lineRule="auto"/>
        <w:ind w:left="0" w:right="1693"/>
        <w:rPr>
          <w:rStyle w:val="Hyperlink"/>
          <w:color w:val="auto"/>
          <w:sz w:val="18"/>
          <w:szCs w:val="18"/>
          <w:u w:val="none"/>
        </w:rPr>
      </w:pPr>
    </w:p>
    <w:p w14:paraId="43F811F9" w14:textId="77777777" w:rsidR="00BC7952" w:rsidRPr="00CB1EB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Contacto:</w:t>
      </w:r>
    </w:p>
    <w:p w14:paraId="1ED65B1F"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GmbH</w:t>
      </w:r>
    </w:p>
    <w:p w14:paraId="207269B0"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A-4614 Marchtrenk, Ludwig Szinicz Straße 3</w:t>
      </w:r>
    </w:p>
    <w:p w14:paraId="604D4BF8"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 +43.(0)50.486-0</w:t>
      </w:r>
    </w:p>
    <w:p w14:paraId="10684A6E"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F: +43.(0)50.486-31</w:t>
      </w:r>
    </w:p>
    <w:p w14:paraId="0BFC0F91"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Correo electrónico: tgw@tgw-group.com</w:t>
      </w:r>
    </w:p>
    <w:p w14:paraId="5FEDEA97" w14:textId="77777777" w:rsidR="00BC7952" w:rsidRPr="00CB1EB0" w:rsidRDefault="00BC7952" w:rsidP="00BC7952">
      <w:pPr>
        <w:spacing w:line="240" w:lineRule="auto"/>
        <w:ind w:left="0" w:right="1693"/>
        <w:rPr>
          <w:rStyle w:val="Hyperlink"/>
          <w:color w:val="auto"/>
          <w:sz w:val="18"/>
          <w:szCs w:val="18"/>
          <w:u w:val="none"/>
        </w:rPr>
      </w:pPr>
    </w:p>
    <w:p w14:paraId="454D968B" w14:textId="77777777" w:rsidR="00F92A0D" w:rsidRPr="00CB1EB0" w:rsidRDefault="00F92A0D" w:rsidP="00BC7952">
      <w:pPr>
        <w:spacing w:line="240" w:lineRule="auto"/>
        <w:ind w:left="0" w:right="1693"/>
        <w:rPr>
          <w:rStyle w:val="Hyperlink"/>
          <w:color w:val="auto"/>
          <w:sz w:val="18"/>
          <w:szCs w:val="18"/>
          <w:u w:val="none"/>
        </w:rPr>
      </w:pPr>
    </w:p>
    <w:p w14:paraId="4C953DB8" w14:textId="77777777" w:rsidR="00F92A0D" w:rsidRPr="00CB1EB0" w:rsidRDefault="00F92A0D" w:rsidP="00BC7952">
      <w:pPr>
        <w:spacing w:line="240" w:lineRule="auto"/>
        <w:ind w:left="0" w:right="1693"/>
        <w:rPr>
          <w:rStyle w:val="Hyperlink"/>
          <w:color w:val="auto"/>
          <w:sz w:val="18"/>
          <w:szCs w:val="18"/>
          <w:u w:val="none"/>
          <w:lang w:val="en-AU"/>
        </w:rPr>
      </w:pPr>
      <w:r>
        <w:rPr>
          <w:rStyle w:val="Hyperlink"/>
          <w:color w:val="auto"/>
          <w:sz w:val="18"/>
          <w:szCs w:val="18"/>
          <w:u w:val="none"/>
        </w:rPr>
        <w:t>Contacto de prensa:</w:t>
      </w:r>
    </w:p>
    <w:p w14:paraId="146D92EA" w14:textId="77777777" w:rsidR="00F92A0D"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Alexander Tahedl</w:t>
      </w:r>
    </w:p>
    <w:p w14:paraId="4AA9D108"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Communications Specialist</w:t>
      </w:r>
    </w:p>
    <w:p w14:paraId="6FC4F852"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T: +43.(0)50.486-2267</w:t>
      </w:r>
    </w:p>
    <w:p w14:paraId="72774883"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M: +43.(0)664.88459713</w:t>
      </w:r>
    </w:p>
    <w:p w14:paraId="6525CAFD" w14:textId="77777777" w:rsidR="00BC7952" w:rsidRPr="00CB1EB0" w:rsidRDefault="00BC7952" w:rsidP="00BC7952">
      <w:pPr>
        <w:spacing w:line="240" w:lineRule="auto"/>
        <w:ind w:left="0" w:right="1693"/>
        <w:rPr>
          <w:sz w:val="18"/>
          <w:szCs w:val="18"/>
          <w:lang w:val="en-AU"/>
        </w:rPr>
      </w:pPr>
      <w:r>
        <w:rPr>
          <w:rStyle w:val="Hyperlink"/>
          <w:color w:val="auto"/>
          <w:sz w:val="18"/>
          <w:szCs w:val="18"/>
          <w:u w:val="none"/>
        </w:rPr>
        <w:t>alexander.tahedl@tgw-group.com</w:t>
      </w:r>
    </w:p>
    <w:p w14:paraId="75E9406C" w14:textId="77777777" w:rsidR="00BC7952" w:rsidRPr="00CB1EB0" w:rsidRDefault="00BC7952" w:rsidP="00BC7952">
      <w:pPr>
        <w:spacing w:line="240" w:lineRule="auto"/>
        <w:ind w:left="0" w:right="1693"/>
        <w:rPr>
          <w:rStyle w:val="Hyperlink"/>
          <w:color w:val="auto"/>
          <w:sz w:val="18"/>
          <w:szCs w:val="18"/>
          <w:u w:val="none"/>
          <w:lang w:val="en-AU"/>
        </w:rPr>
      </w:pPr>
    </w:p>
    <w:p w14:paraId="10595A63" w14:textId="77777777" w:rsidR="00F92A0D" w:rsidRPr="00CB1EB0" w:rsidRDefault="00F92A0D" w:rsidP="00BC7952">
      <w:pPr>
        <w:spacing w:line="240" w:lineRule="auto"/>
        <w:ind w:left="0" w:right="1693"/>
        <w:rPr>
          <w:rStyle w:val="Hyperlink"/>
          <w:color w:val="auto"/>
          <w:sz w:val="18"/>
          <w:szCs w:val="18"/>
          <w:u w:val="none"/>
          <w:lang w:val="en-AU"/>
        </w:rPr>
      </w:pPr>
    </w:p>
    <w:p w14:paraId="4EED31D9"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Martin Kirchmayr</w:t>
      </w:r>
    </w:p>
    <w:p w14:paraId="7C9E4046" w14:textId="77777777" w:rsidR="00BC7952" w:rsidRPr="00CB1EB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Director Marketing &amp; Communications</w:t>
      </w:r>
    </w:p>
    <w:p w14:paraId="5E14B397"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T: +43.(0)50.486-1382</w:t>
      </w:r>
    </w:p>
    <w:p w14:paraId="5B3A92ED"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M: +43.(0)664.8187423</w:t>
      </w:r>
    </w:p>
    <w:p w14:paraId="71237D97" w14:textId="77777777" w:rsidR="00BC7952" w:rsidRPr="00CB1EB0" w:rsidRDefault="00BC7952" w:rsidP="00BC7952">
      <w:pPr>
        <w:spacing w:line="240" w:lineRule="auto"/>
        <w:ind w:left="0" w:right="1693"/>
        <w:rPr>
          <w:rStyle w:val="Hyperlink"/>
          <w:color w:val="auto"/>
          <w:sz w:val="18"/>
          <w:szCs w:val="18"/>
          <w:u w:val="none"/>
        </w:rPr>
      </w:pPr>
      <w:r>
        <w:rPr>
          <w:rStyle w:val="Hyperlink"/>
          <w:color w:val="auto"/>
          <w:sz w:val="18"/>
          <w:szCs w:val="18"/>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BE63" w14:textId="77777777" w:rsidR="001F78BD" w:rsidRDefault="001F78BD" w:rsidP="00764006">
      <w:pPr>
        <w:spacing w:line="240" w:lineRule="auto"/>
      </w:pPr>
      <w:r>
        <w:separator/>
      </w:r>
    </w:p>
  </w:endnote>
  <w:endnote w:type="continuationSeparator" w:id="0">
    <w:p w14:paraId="588CCEBC" w14:textId="77777777" w:rsidR="001F78BD" w:rsidRDefault="001F78B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0871D87"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D81889">
            <w:rPr>
              <w:noProof/>
              <w:sz w:val="16"/>
              <w:szCs w:val="16"/>
            </w:rPr>
            <w:t>6</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D81889">
            <w:rPr>
              <w:noProof/>
              <w:sz w:val="16"/>
              <w:szCs w:val="16"/>
            </w:rPr>
            <w:t>6</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4CB0" w14:textId="77777777" w:rsidR="001F78BD" w:rsidRDefault="001F78BD" w:rsidP="00764006">
      <w:pPr>
        <w:spacing w:line="240" w:lineRule="auto"/>
      </w:pPr>
      <w:r>
        <w:separator/>
      </w:r>
    </w:p>
  </w:footnote>
  <w:footnote w:type="continuationSeparator" w:id="0">
    <w:p w14:paraId="3990EF20" w14:textId="77777777" w:rsidR="001F78BD" w:rsidRDefault="001F78B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2A8A34D"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A02"/>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4F2D"/>
    <w:rsid w:val="00065254"/>
    <w:rsid w:val="000662F5"/>
    <w:rsid w:val="00066599"/>
    <w:rsid w:val="0006731A"/>
    <w:rsid w:val="00067ABB"/>
    <w:rsid w:val="00070C35"/>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4CF8"/>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0BDA"/>
    <w:rsid w:val="000E1D04"/>
    <w:rsid w:val="000E20AF"/>
    <w:rsid w:val="000E33BA"/>
    <w:rsid w:val="000E33FB"/>
    <w:rsid w:val="000E3560"/>
    <w:rsid w:val="000E43DC"/>
    <w:rsid w:val="000E48E5"/>
    <w:rsid w:val="000E4B36"/>
    <w:rsid w:val="000E6FC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0761"/>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2A0F"/>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97269"/>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853"/>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1F78BD"/>
    <w:rsid w:val="002017CF"/>
    <w:rsid w:val="002025D0"/>
    <w:rsid w:val="0020344F"/>
    <w:rsid w:val="00203677"/>
    <w:rsid w:val="00205DAD"/>
    <w:rsid w:val="00212AB2"/>
    <w:rsid w:val="00213206"/>
    <w:rsid w:val="00213434"/>
    <w:rsid w:val="00213DEE"/>
    <w:rsid w:val="00213ECF"/>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372"/>
    <w:rsid w:val="00262F29"/>
    <w:rsid w:val="0026348A"/>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122D"/>
    <w:rsid w:val="002A3009"/>
    <w:rsid w:val="002A3230"/>
    <w:rsid w:val="002A3B95"/>
    <w:rsid w:val="002A564B"/>
    <w:rsid w:val="002A63CD"/>
    <w:rsid w:val="002A6730"/>
    <w:rsid w:val="002A6817"/>
    <w:rsid w:val="002A6F1E"/>
    <w:rsid w:val="002A7A17"/>
    <w:rsid w:val="002A7D7D"/>
    <w:rsid w:val="002B21E2"/>
    <w:rsid w:val="002B4B19"/>
    <w:rsid w:val="002C0149"/>
    <w:rsid w:val="002C0832"/>
    <w:rsid w:val="002C10EF"/>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0F7C"/>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470F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12C1"/>
    <w:rsid w:val="003E164B"/>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B82"/>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76C45"/>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4F791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4EBF"/>
    <w:rsid w:val="00537584"/>
    <w:rsid w:val="005401C3"/>
    <w:rsid w:val="0054291F"/>
    <w:rsid w:val="00542C87"/>
    <w:rsid w:val="00543928"/>
    <w:rsid w:val="00546AC8"/>
    <w:rsid w:val="00547714"/>
    <w:rsid w:val="0055556C"/>
    <w:rsid w:val="0055566B"/>
    <w:rsid w:val="00556F47"/>
    <w:rsid w:val="00557651"/>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3F7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5CEF"/>
    <w:rsid w:val="00626565"/>
    <w:rsid w:val="00627228"/>
    <w:rsid w:val="006273C7"/>
    <w:rsid w:val="0063006D"/>
    <w:rsid w:val="00630AA6"/>
    <w:rsid w:val="00632088"/>
    <w:rsid w:val="00632BC2"/>
    <w:rsid w:val="006437FF"/>
    <w:rsid w:val="00643CDE"/>
    <w:rsid w:val="00644F94"/>
    <w:rsid w:val="006474AB"/>
    <w:rsid w:val="006507F6"/>
    <w:rsid w:val="00650DF4"/>
    <w:rsid w:val="006527DF"/>
    <w:rsid w:val="006559A9"/>
    <w:rsid w:val="006564C4"/>
    <w:rsid w:val="00657E3E"/>
    <w:rsid w:val="00657F6B"/>
    <w:rsid w:val="00660132"/>
    <w:rsid w:val="00660B22"/>
    <w:rsid w:val="00663F40"/>
    <w:rsid w:val="00664198"/>
    <w:rsid w:val="00665DAD"/>
    <w:rsid w:val="0066728B"/>
    <w:rsid w:val="006672B8"/>
    <w:rsid w:val="00667B5A"/>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1E2D"/>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DE9"/>
    <w:rsid w:val="006F6E1B"/>
    <w:rsid w:val="007001D0"/>
    <w:rsid w:val="007003DA"/>
    <w:rsid w:val="00701012"/>
    <w:rsid w:val="007013F6"/>
    <w:rsid w:val="0070400C"/>
    <w:rsid w:val="00704319"/>
    <w:rsid w:val="0070462F"/>
    <w:rsid w:val="00704BFD"/>
    <w:rsid w:val="0070509E"/>
    <w:rsid w:val="007058A0"/>
    <w:rsid w:val="00705CAC"/>
    <w:rsid w:val="0070626C"/>
    <w:rsid w:val="00706C09"/>
    <w:rsid w:val="00710631"/>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231F"/>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24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5E5"/>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4B94"/>
    <w:rsid w:val="007D5FF2"/>
    <w:rsid w:val="007D6797"/>
    <w:rsid w:val="007D6ACE"/>
    <w:rsid w:val="007D7137"/>
    <w:rsid w:val="007E0CD3"/>
    <w:rsid w:val="007E0E4A"/>
    <w:rsid w:val="007E1D42"/>
    <w:rsid w:val="007E43B7"/>
    <w:rsid w:val="007E663A"/>
    <w:rsid w:val="007E69EF"/>
    <w:rsid w:val="007F0946"/>
    <w:rsid w:val="007F2311"/>
    <w:rsid w:val="007F2379"/>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22B4"/>
    <w:rsid w:val="00823625"/>
    <w:rsid w:val="008245E4"/>
    <w:rsid w:val="00825383"/>
    <w:rsid w:val="008268AB"/>
    <w:rsid w:val="00830ECC"/>
    <w:rsid w:val="00831D24"/>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1F0"/>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1EDD"/>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026"/>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97E62"/>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759"/>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420"/>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50D9"/>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BB5"/>
    <w:rsid w:val="00965E18"/>
    <w:rsid w:val="00966AAB"/>
    <w:rsid w:val="00966D14"/>
    <w:rsid w:val="00970363"/>
    <w:rsid w:val="00970B2A"/>
    <w:rsid w:val="009714B3"/>
    <w:rsid w:val="00972CF6"/>
    <w:rsid w:val="00974C9E"/>
    <w:rsid w:val="00975DEA"/>
    <w:rsid w:val="00975E13"/>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839"/>
    <w:rsid w:val="009A7E34"/>
    <w:rsid w:val="009B2022"/>
    <w:rsid w:val="009B24D5"/>
    <w:rsid w:val="009B268D"/>
    <w:rsid w:val="009B3FC5"/>
    <w:rsid w:val="009B6420"/>
    <w:rsid w:val="009B6DA3"/>
    <w:rsid w:val="009B7F76"/>
    <w:rsid w:val="009C0293"/>
    <w:rsid w:val="009C0744"/>
    <w:rsid w:val="009C0828"/>
    <w:rsid w:val="009C517E"/>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88C"/>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46F2"/>
    <w:rsid w:val="00A6667C"/>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64DC"/>
    <w:rsid w:val="00A874D1"/>
    <w:rsid w:val="00A875FA"/>
    <w:rsid w:val="00A91155"/>
    <w:rsid w:val="00A92C6B"/>
    <w:rsid w:val="00A93FD0"/>
    <w:rsid w:val="00A95202"/>
    <w:rsid w:val="00A953DD"/>
    <w:rsid w:val="00A96A83"/>
    <w:rsid w:val="00A96FA4"/>
    <w:rsid w:val="00A97BFD"/>
    <w:rsid w:val="00AA0016"/>
    <w:rsid w:val="00AA055D"/>
    <w:rsid w:val="00AA0EC8"/>
    <w:rsid w:val="00AA3942"/>
    <w:rsid w:val="00AA52E5"/>
    <w:rsid w:val="00AA5911"/>
    <w:rsid w:val="00AA7624"/>
    <w:rsid w:val="00AB0DE1"/>
    <w:rsid w:val="00AB19F8"/>
    <w:rsid w:val="00AB2298"/>
    <w:rsid w:val="00AB2841"/>
    <w:rsid w:val="00AB2EE2"/>
    <w:rsid w:val="00AB32FD"/>
    <w:rsid w:val="00AB4626"/>
    <w:rsid w:val="00AB4D9C"/>
    <w:rsid w:val="00AB4E9B"/>
    <w:rsid w:val="00AB697D"/>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2F76"/>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27F57"/>
    <w:rsid w:val="00B30954"/>
    <w:rsid w:val="00B31125"/>
    <w:rsid w:val="00B318C2"/>
    <w:rsid w:val="00B32AC6"/>
    <w:rsid w:val="00B32C4D"/>
    <w:rsid w:val="00B33D5B"/>
    <w:rsid w:val="00B34842"/>
    <w:rsid w:val="00B34DB2"/>
    <w:rsid w:val="00B356E1"/>
    <w:rsid w:val="00B3639D"/>
    <w:rsid w:val="00B36B49"/>
    <w:rsid w:val="00B4104D"/>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0A54"/>
    <w:rsid w:val="00BA19C7"/>
    <w:rsid w:val="00BA3D94"/>
    <w:rsid w:val="00BA4474"/>
    <w:rsid w:val="00BB3138"/>
    <w:rsid w:val="00BB385B"/>
    <w:rsid w:val="00BB49ED"/>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2AD"/>
    <w:rsid w:val="00BE05A5"/>
    <w:rsid w:val="00BE0EBD"/>
    <w:rsid w:val="00BE1584"/>
    <w:rsid w:val="00BE1962"/>
    <w:rsid w:val="00BE1B22"/>
    <w:rsid w:val="00BE5942"/>
    <w:rsid w:val="00BE59A5"/>
    <w:rsid w:val="00BE71EE"/>
    <w:rsid w:val="00BF4E96"/>
    <w:rsid w:val="00BF6A07"/>
    <w:rsid w:val="00C00CE0"/>
    <w:rsid w:val="00C0453B"/>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2A8"/>
    <w:rsid w:val="00C2672F"/>
    <w:rsid w:val="00C26A01"/>
    <w:rsid w:val="00C302FE"/>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07D5"/>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E1A"/>
    <w:rsid w:val="00CA5A78"/>
    <w:rsid w:val="00CA5C99"/>
    <w:rsid w:val="00CA621B"/>
    <w:rsid w:val="00CA645D"/>
    <w:rsid w:val="00CA65AC"/>
    <w:rsid w:val="00CA726B"/>
    <w:rsid w:val="00CB17DD"/>
    <w:rsid w:val="00CB1BDD"/>
    <w:rsid w:val="00CB1EB0"/>
    <w:rsid w:val="00CB65FF"/>
    <w:rsid w:val="00CC1A91"/>
    <w:rsid w:val="00CC1C9A"/>
    <w:rsid w:val="00CC3B54"/>
    <w:rsid w:val="00CC797E"/>
    <w:rsid w:val="00CC7CD3"/>
    <w:rsid w:val="00CD04F0"/>
    <w:rsid w:val="00CD1D14"/>
    <w:rsid w:val="00CD2979"/>
    <w:rsid w:val="00CD2C53"/>
    <w:rsid w:val="00CD2F4C"/>
    <w:rsid w:val="00CD407B"/>
    <w:rsid w:val="00CD4586"/>
    <w:rsid w:val="00CD6174"/>
    <w:rsid w:val="00CD6F45"/>
    <w:rsid w:val="00CE3BCE"/>
    <w:rsid w:val="00CE3E22"/>
    <w:rsid w:val="00CE58F3"/>
    <w:rsid w:val="00CE5C9C"/>
    <w:rsid w:val="00CE6707"/>
    <w:rsid w:val="00CF0015"/>
    <w:rsid w:val="00CF073B"/>
    <w:rsid w:val="00CF0AD2"/>
    <w:rsid w:val="00CF0D04"/>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0B5"/>
    <w:rsid w:val="00D22B90"/>
    <w:rsid w:val="00D238CE"/>
    <w:rsid w:val="00D2574D"/>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224A"/>
    <w:rsid w:val="00D5340E"/>
    <w:rsid w:val="00D554C1"/>
    <w:rsid w:val="00D5569A"/>
    <w:rsid w:val="00D55EED"/>
    <w:rsid w:val="00D575CA"/>
    <w:rsid w:val="00D60658"/>
    <w:rsid w:val="00D61BA8"/>
    <w:rsid w:val="00D61BD2"/>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16E7"/>
    <w:rsid w:val="00D81889"/>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6C7"/>
    <w:rsid w:val="00D97889"/>
    <w:rsid w:val="00D9788A"/>
    <w:rsid w:val="00D97AD8"/>
    <w:rsid w:val="00D97FED"/>
    <w:rsid w:val="00DA12FF"/>
    <w:rsid w:val="00DA2329"/>
    <w:rsid w:val="00DA2D5A"/>
    <w:rsid w:val="00DA2DD2"/>
    <w:rsid w:val="00DA2F82"/>
    <w:rsid w:val="00DA349C"/>
    <w:rsid w:val="00DA34DF"/>
    <w:rsid w:val="00DA3CC3"/>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3240"/>
    <w:rsid w:val="00DD3277"/>
    <w:rsid w:val="00DD36CD"/>
    <w:rsid w:val="00DD4888"/>
    <w:rsid w:val="00DD4BFD"/>
    <w:rsid w:val="00DD615C"/>
    <w:rsid w:val="00DD6445"/>
    <w:rsid w:val="00DD6BC9"/>
    <w:rsid w:val="00DE0A2C"/>
    <w:rsid w:val="00DE10C1"/>
    <w:rsid w:val="00DE1678"/>
    <w:rsid w:val="00DE2CA9"/>
    <w:rsid w:val="00DE5A28"/>
    <w:rsid w:val="00DE66D3"/>
    <w:rsid w:val="00DE6FF1"/>
    <w:rsid w:val="00DE7A41"/>
    <w:rsid w:val="00DF0B20"/>
    <w:rsid w:val="00DF0CC4"/>
    <w:rsid w:val="00DF11BE"/>
    <w:rsid w:val="00DF17B5"/>
    <w:rsid w:val="00DF270B"/>
    <w:rsid w:val="00DF36AC"/>
    <w:rsid w:val="00DF3E9D"/>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FF6"/>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3DEC"/>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12E6"/>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41"/>
    <w:rsid w:val="00EC5298"/>
    <w:rsid w:val="00EC68BB"/>
    <w:rsid w:val="00ED229F"/>
    <w:rsid w:val="00ED5843"/>
    <w:rsid w:val="00ED5E52"/>
    <w:rsid w:val="00EE1D6D"/>
    <w:rsid w:val="00EE28CE"/>
    <w:rsid w:val="00EE2D82"/>
    <w:rsid w:val="00EE3035"/>
    <w:rsid w:val="00EE31D2"/>
    <w:rsid w:val="00EE35DB"/>
    <w:rsid w:val="00EE3BED"/>
    <w:rsid w:val="00EE3CB8"/>
    <w:rsid w:val="00EE4F37"/>
    <w:rsid w:val="00EE5466"/>
    <w:rsid w:val="00EE617F"/>
    <w:rsid w:val="00EF192A"/>
    <w:rsid w:val="00EF28D6"/>
    <w:rsid w:val="00EF2D7E"/>
    <w:rsid w:val="00EF32D1"/>
    <w:rsid w:val="00EF3BEE"/>
    <w:rsid w:val="00EF4501"/>
    <w:rsid w:val="00EF51A6"/>
    <w:rsid w:val="00EF5231"/>
    <w:rsid w:val="00EF5E3E"/>
    <w:rsid w:val="00EF740E"/>
    <w:rsid w:val="00F0240F"/>
    <w:rsid w:val="00F037F5"/>
    <w:rsid w:val="00F043ED"/>
    <w:rsid w:val="00F04DCF"/>
    <w:rsid w:val="00F04F9A"/>
    <w:rsid w:val="00F06EA2"/>
    <w:rsid w:val="00F10C10"/>
    <w:rsid w:val="00F149DA"/>
    <w:rsid w:val="00F14A02"/>
    <w:rsid w:val="00F158F4"/>
    <w:rsid w:val="00F16A94"/>
    <w:rsid w:val="00F1700F"/>
    <w:rsid w:val="00F174AB"/>
    <w:rsid w:val="00F2073E"/>
    <w:rsid w:val="00F2199B"/>
    <w:rsid w:val="00F23093"/>
    <w:rsid w:val="00F2515A"/>
    <w:rsid w:val="00F25B47"/>
    <w:rsid w:val="00F27557"/>
    <w:rsid w:val="00F30444"/>
    <w:rsid w:val="00F31B92"/>
    <w:rsid w:val="00F31C84"/>
    <w:rsid w:val="00F31E9B"/>
    <w:rsid w:val="00F34B8B"/>
    <w:rsid w:val="00F3506F"/>
    <w:rsid w:val="00F35FAE"/>
    <w:rsid w:val="00F361BB"/>
    <w:rsid w:val="00F37838"/>
    <w:rsid w:val="00F4136D"/>
    <w:rsid w:val="00F428A4"/>
    <w:rsid w:val="00F42BEC"/>
    <w:rsid w:val="00F43561"/>
    <w:rsid w:val="00F4398F"/>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4B8"/>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7D4B9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13D3B18F-DC83-4579-A371-48807CA6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11805</Characters>
  <Application>Microsoft Office Word</Application>
  <DocSecurity>0</DocSecurity>
  <Lines>98</Lines>
  <Paragraphs>27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"La automatización de almacenes merece especialmente la pena en la logística de ultracongelados"</vt:lpstr>
      <vt:lpstr/>
    </vt:vector>
  </TitlesOfParts>
  <Company>Klug</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automatización de almacenes merece especialmente la pena en la logística de ultracongelados"</dc:title>
  <dc:subject/>
  <dc:creator>Wohlfarth Andrea</dc:creator>
  <cp:keywords>"La automatización de almacenes merece especialmente la pena en la logística de ultracongelados"</cp:keywords>
  <dc:description/>
  <cp:lastModifiedBy>Tahedl Alexander</cp:lastModifiedBy>
  <cp:revision>60</cp:revision>
  <cp:lastPrinted>2021-08-26T12:23:00Z</cp:lastPrinted>
  <dcterms:created xsi:type="dcterms:W3CDTF">2021-08-26T09:05:00Z</dcterms:created>
  <dcterms:modified xsi:type="dcterms:W3CDTF">2021-08-26T13:37:00Z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